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A1A1" w14:textId="4B087CC7" w:rsidR="002F303E" w:rsidRPr="00E61854" w:rsidRDefault="002F303E" w:rsidP="009E29F1">
      <w:pPr>
        <w:spacing w:after="60"/>
        <w:ind w:left="1985" w:hanging="1985"/>
        <w:jc w:val="both"/>
        <w:rPr>
          <w:rFonts w:ascii="Arial" w:hAnsi="Arial" w:cs="Arial"/>
          <w:b/>
          <w:noProof/>
          <w:sz w:val="24"/>
          <w:szCs w:val="24"/>
          <w:lang w:val="en-US" w:eastAsia="ja-JP"/>
        </w:rPr>
      </w:pPr>
      <w:r>
        <w:rPr>
          <w:rFonts w:ascii="Arial" w:hAnsi="Arial" w:cs="Arial"/>
          <w:b/>
          <w:noProof/>
          <w:sz w:val="24"/>
          <w:szCs w:val="24"/>
          <w:lang w:val="en-US"/>
        </w:rPr>
        <w:t>3GPP TSG-RAN</w:t>
      </w:r>
      <w:r w:rsidR="00431F3B">
        <w:rPr>
          <w:rFonts w:ascii="Arial" w:hAnsi="Arial" w:cs="Arial"/>
          <w:b/>
          <w:noProof/>
          <w:sz w:val="24"/>
          <w:szCs w:val="24"/>
          <w:lang w:val="en-US"/>
        </w:rPr>
        <w:t>4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#</w:t>
      </w:r>
      <w:r w:rsidR="007B4868">
        <w:rPr>
          <w:rFonts w:ascii="Arial" w:hAnsi="Arial" w:cs="Arial"/>
          <w:b/>
          <w:noProof/>
          <w:sz w:val="24"/>
          <w:szCs w:val="24"/>
          <w:lang w:val="en-US"/>
        </w:rPr>
        <w:t>9</w:t>
      </w:r>
      <w:r w:rsidR="000E4E25">
        <w:rPr>
          <w:rFonts w:ascii="Arial" w:hAnsi="Arial" w:cs="Arial"/>
          <w:b/>
          <w:noProof/>
          <w:sz w:val="24"/>
          <w:szCs w:val="24"/>
          <w:lang w:val="en-US"/>
        </w:rPr>
        <w:t>5-e</w:t>
      </w:r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46298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EF752A" w:rsidRPr="00EF752A">
        <w:rPr>
          <w:rFonts w:ascii="Arial" w:hAnsi="Arial" w:cs="Arial"/>
          <w:b/>
          <w:noProof/>
          <w:sz w:val="24"/>
          <w:szCs w:val="24"/>
          <w:lang w:val="en-US"/>
        </w:rPr>
        <w:t>R4-200</w:t>
      </w:r>
      <w:r w:rsidR="00414249">
        <w:rPr>
          <w:rFonts w:ascii="Arial" w:hAnsi="Arial" w:cs="Arial"/>
          <w:b/>
          <w:noProof/>
          <w:sz w:val="24"/>
          <w:szCs w:val="24"/>
          <w:lang w:val="en-US"/>
        </w:rPr>
        <w:t>8048</w:t>
      </w:r>
    </w:p>
    <w:p w14:paraId="7777838A" w14:textId="21C28380" w:rsidR="002F303E" w:rsidRDefault="000E4E25" w:rsidP="002F303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May-June</w:t>
      </w:r>
      <w:r w:rsidR="002F303E" w:rsidRPr="003C4687">
        <w:rPr>
          <w:rFonts w:eastAsia="SimSun"/>
          <w:i w:val="0"/>
          <w:noProof w:val="0"/>
          <w:sz w:val="24"/>
          <w:szCs w:val="24"/>
          <w:lang w:eastAsia="zh-CN"/>
        </w:rPr>
        <w:t xml:space="preserve"> 2020</w:t>
      </w:r>
    </w:p>
    <w:p w14:paraId="3EFE2E42" w14:textId="77777777" w:rsidR="002F303E" w:rsidRPr="00FB0094" w:rsidRDefault="002F303E" w:rsidP="002F303E">
      <w:pPr>
        <w:pStyle w:val="Footer"/>
        <w:jc w:val="both"/>
        <w:rPr>
          <w:noProof w:val="0"/>
        </w:rPr>
      </w:pPr>
    </w:p>
    <w:p w14:paraId="38416DD2" w14:textId="40F800B6" w:rsidR="002F303E" w:rsidRPr="000A64D8" w:rsidRDefault="002F303E" w:rsidP="002F303E">
      <w:pPr>
        <w:tabs>
          <w:tab w:val="left" w:pos="198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0" w:name="Source"/>
      <w:bookmarkEnd w:id="0"/>
      <w:r w:rsidR="00EF752A" w:rsidRPr="00EF752A">
        <w:rPr>
          <w:rFonts w:ascii="Arial" w:hAnsi="Arial"/>
          <w:sz w:val="24"/>
        </w:rPr>
        <w:t>4.4.2.1</w:t>
      </w:r>
    </w:p>
    <w:p w14:paraId="411EF4F2" w14:textId="77777777" w:rsidR="002F303E" w:rsidRPr="000A64D8" w:rsidRDefault="002F303E" w:rsidP="002F303E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02DC6E79" w14:textId="77777777" w:rsidR="00116D56" w:rsidRDefault="002F303E" w:rsidP="00116D56">
      <w:pPr>
        <w:ind w:left="1988" w:hanging="1988"/>
        <w:jc w:val="both"/>
        <w:rPr>
          <w:rFonts w:ascii="Arial" w:hAnsi="Arial"/>
          <w:sz w:val="22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proofErr w:type="spellStart"/>
      <w:r w:rsidR="00116D56" w:rsidRPr="00116D56">
        <w:rPr>
          <w:rFonts w:ascii="Arial" w:hAnsi="Arial"/>
          <w:sz w:val="22"/>
        </w:rPr>
        <w:t>eMIMO</w:t>
      </w:r>
      <w:proofErr w:type="spellEnd"/>
      <w:r w:rsidR="00116D56" w:rsidRPr="00116D56">
        <w:rPr>
          <w:rFonts w:ascii="Arial" w:hAnsi="Arial"/>
          <w:sz w:val="22"/>
        </w:rPr>
        <w:t xml:space="preserve"> FPTX Open items for FR1</w:t>
      </w:r>
    </w:p>
    <w:p w14:paraId="41F0E833" w14:textId="5E9485C3" w:rsidR="00222D66" w:rsidRDefault="002F303E" w:rsidP="00116D56">
      <w:pPr>
        <w:ind w:left="1988" w:hanging="1988"/>
        <w:jc w:val="both"/>
        <w:rPr>
          <w:rFonts w:ascii="Arial" w:hAnsi="Arial" w:cs="Arial"/>
          <w:bCs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Approval</w:t>
      </w:r>
    </w:p>
    <w:p w14:paraId="5208C64A" w14:textId="77777777" w:rsidR="0045428D" w:rsidRDefault="000A567D" w:rsidP="009E29F1">
      <w:pPr>
        <w:pStyle w:val="Heading1"/>
        <w:jc w:val="both"/>
      </w:pPr>
      <w:r>
        <w:t>1.</w:t>
      </w:r>
      <w:r>
        <w:tab/>
      </w:r>
      <w:r w:rsidR="002A1C01">
        <w:t>Introduction</w:t>
      </w:r>
    </w:p>
    <w:p w14:paraId="5F5115CF" w14:textId="62C3C9C7" w:rsidR="00973562" w:rsidRDefault="00196C67" w:rsidP="009E29F1">
      <w:pPr>
        <w:jc w:val="both"/>
      </w:pPr>
      <w:r>
        <w:t xml:space="preserve">WF </w:t>
      </w:r>
      <w:r w:rsidR="00C640F2">
        <w:t xml:space="preserve">[1] </w:t>
      </w:r>
      <w:r>
        <w:t xml:space="preserve">was agreed but WF </w:t>
      </w:r>
      <w:r w:rsidR="00973562">
        <w:t xml:space="preserve">still leaves few items open and for debate in RAN4#95. This paper discusses those open items and proposes how to close those. </w:t>
      </w:r>
    </w:p>
    <w:p w14:paraId="210748CA" w14:textId="39639A33" w:rsidR="00962566" w:rsidRDefault="000A567D" w:rsidP="009E29F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  <w:r w:rsidR="00A47BB0">
        <w:t xml:space="preserve"> on </w:t>
      </w:r>
      <w:r w:rsidR="003945A9">
        <w:t>background and scope</w:t>
      </w:r>
    </w:p>
    <w:p w14:paraId="2E9BD2CC" w14:textId="31776B60" w:rsidR="00507840" w:rsidRDefault="00507840" w:rsidP="009E29F1">
      <w:pPr>
        <w:pStyle w:val="Heading2"/>
        <w:jc w:val="both"/>
      </w:pPr>
      <w:r>
        <w:t>2.1</w:t>
      </w:r>
      <w:r>
        <w:tab/>
        <w:t>General</w:t>
      </w:r>
    </w:p>
    <w:p w14:paraId="260AAA8F" w14:textId="768E9CAE" w:rsidR="00507840" w:rsidRPr="00507840" w:rsidRDefault="00507840" w:rsidP="00507840">
      <w:r>
        <w:t xml:space="preserve">Discussion in [2] explained some options on how to understand the requirements. As a result, in WF [1] agreement was </w:t>
      </w:r>
      <w:r w:rsidRPr="00FC7189">
        <w:rPr>
          <w:i/>
          <w:iCs/>
        </w:rPr>
        <w:t xml:space="preserve">to allow </w:t>
      </w:r>
      <w:proofErr w:type="spellStart"/>
      <w:r w:rsidRPr="00FC7189">
        <w:rPr>
          <w:i/>
          <w:iCs/>
        </w:rPr>
        <w:t>tx</w:t>
      </w:r>
      <w:proofErr w:type="spellEnd"/>
      <w:r w:rsidRPr="00FC7189">
        <w:rPr>
          <w:i/>
          <w:iCs/>
        </w:rPr>
        <w:t xml:space="preserve"> diversity</w:t>
      </w:r>
      <w:r>
        <w:t xml:space="preserve">, referring to scenario 1 in WF, but not mandate it. Further, it was agreed not to define a new power class capability. In WF, in a part with agreements on transparent </w:t>
      </w:r>
      <w:proofErr w:type="spellStart"/>
      <w:r>
        <w:t>tx</w:t>
      </w:r>
      <w:proofErr w:type="spellEnd"/>
      <w:r>
        <w:t xml:space="preserve"> diversity, it was also agreed that “</w:t>
      </w:r>
      <w:r w:rsidRPr="00F33B7F">
        <w:rPr>
          <w:i/>
          <w:iCs/>
        </w:rPr>
        <w:t xml:space="preserve">For UE with 23dBm+23dBm PA architecture, transparent </w:t>
      </w:r>
      <w:proofErr w:type="spellStart"/>
      <w:r w:rsidRPr="00F33B7F">
        <w:rPr>
          <w:i/>
          <w:iCs/>
        </w:rPr>
        <w:t>TxD</w:t>
      </w:r>
      <w:proofErr w:type="spellEnd"/>
      <w:r w:rsidRPr="00F33B7F">
        <w:rPr>
          <w:i/>
          <w:iCs/>
        </w:rPr>
        <w:t xml:space="preserve"> shall be used to have 26dBm MOP for 1TX port transmission</w:t>
      </w:r>
      <w:r w:rsidRPr="00F33B7F">
        <w:t>.</w:t>
      </w:r>
      <w:r>
        <w:t>” But then also it was agreed in same slide that “</w:t>
      </w:r>
      <w:r w:rsidRPr="001E3FC9">
        <w:rPr>
          <w:i/>
          <w:iCs/>
        </w:rPr>
        <w:t>TBD its applicability for UEs supporting or not supporting full power transmission</w:t>
      </w:r>
      <w:r>
        <w:t xml:space="preserve">”.  The intention of the </w:t>
      </w:r>
      <w:proofErr w:type="spellStart"/>
      <w:r>
        <w:t>eMIMO</w:t>
      </w:r>
      <w:proofErr w:type="spellEnd"/>
      <w:r>
        <w:t xml:space="preserve"> Full output power WI was to enable UE’s with different PA implementations to produce full output power under two port configurations. This leaves a mild ambiguity on what are requirements for UE with PA capability 2. </w:t>
      </w:r>
    </w:p>
    <w:p w14:paraId="2F803B3C" w14:textId="23D84F67" w:rsidR="003218BA" w:rsidRDefault="003218BA" w:rsidP="009E29F1">
      <w:pPr>
        <w:pStyle w:val="Heading2"/>
        <w:jc w:val="both"/>
      </w:pPr>
      <w:r>
        <w:t>2.</w:t>
      </w:r>
      <w:r w:rsidR="00507840">
        <w:t>2</w:t>
      </w:r>
      <w:r>
        <w:tab/>
      </w:r>
      <w:r w:rsidR="00815E51">
        <w:t xml:space="preserve">UE declaring </w:t>
      </w:r>
      <w:r w:rsidR="00A24765">
        <w:t>Mode 1</w:t>
      </w:r>
      <w:r w:rsidR="004F1404">
        <w:t xml:space="preserve"> </w:t>
      </w:r>
      <w:r w:rsidR="00815E51">
        <w:t>support</w:t>
      </w:r>
      <w:r w:rsidR="004F1404">
        <w:t xml:space="preserve"> requirements</w:t>
      </w:r>
      <w:r w:rsidR="00A24765">
        <w:t xml:space="preserve"> with DCI 0_0</w:t>
      </w:r>
      <w:r w:rsidR="00EC14BF">
        <w:t xml:space="preserve"> or single SRS port with DCI 0_1</w:t>
      </w:r>
    </w:p>
    <w:p w14:paraId="46ECDFCB" w14:textId="4C42AE39" w:rsidR="00A10090" w:rsidRDefault="00535A25" w:rsidP="004327A7">
      <w:r>
        <w:t xml:space="preserve">If </w:t>
      </w:r>
      <w:r w:rsidR="00A10090">
        <w:t>UE implements 2 x 23 dBm PA</w:t>
      </w:r>
      <w:r>
        <w:t xml:space="preserve"> it has two options 1) </w:t>
      </w:r>
      <w:r w:rsidR="00A10090">
        <w:t>I</w:t>
      </w:r>
      <w:r>
        <w:t>f it</w:t>
      </w:r>
      <w:r w:rsidR="00A10090">
        <w:t xml:space="preserve"> declares PC3, it is mode 0 or same as Rel-15 behaviour. </w:t>
      </w:r>
      <w:r>
        <w:t xml:space="preserve">2) </w:t>
      </w:r>
      <w:r w:rsidR="00A10090">
        <w:t>If it declares PC2</w:t>
      </w:r>
      <w:r>
        <w:t>, i</w:t>
      </w:r>
      <w:r w:rsidR="00A10090">
        <w:t>t is mode 1</w:t>
      </w:r>
      <w:r>
        <w:t xml:space="preserve">. Tx diversity is allowed but not mandated. </w:t>
      </w:r>
      <w:r w:rsidR="00F05812">
        <w:t xml:space="preserve">What are requirements for this UE when it is configured </w:t>
      </w:r>
      <w:r w:rsidR="00D5731B">
        <w:t>for single port transmissions?</w:t>
      </w:r>
    </w:p>
    <w:p w14:paraId="47D22AB0" w14:textId="5C1C78F8" w:rsidR="00AD3832" w:rsidRDefault="002856C8" w:rsidP="004327A7">
      <w:pPr>
        <w:rPr>
          <w:b/>
          <w:bCs/>
        </w:rPr>
      </w:pPr>
      <w:r w:rsidRPr="00261D87">
        <w:rPr>
          <w:b/>
          <w:bCs/>
        </w:rPr>
        <w:t xml:space="preserve">Observation 1: WF did agree </w:t>
      </w:r>
      <w:r w:rsidR="00D5731B" w:rsidRPr="00261D87">
        <w:rPr>
          <w:b/>
          <w:bCs/>
        </w:rPr>
        <w:t xml:space="preserve">explicit requirements </w:t>
      </w:r>
      <w:r w:rsidR="007E76DB">
        <w:rPr>
          <w:b/>
          <w:bCs/>
        </w:rPr>
        <w:t xml:space="preserve">when </w:t>
      </w:r>
      <w:r w:rsidR="007E76DB" w:rsidRPr="00261D87">
        <w:rPr>
          <w:b/>
          <w:bCs/>
        </w:rPr>
        <w:t xml:space="preserve">UE is configured for single port transmissions </w:t>
      </w:r>
      <w:r w:rsidR="00D5731B" w:rsidRPr="00261D87">
        <w:rPr>
          <w:b/>
          <w:bCs/>
        </w:rPr>
        <w:t>for</w:t>
      </w:r>
      <w:r w:rsidRPr="00261D87">
        <w:rPr>
          <w:b/>
          <w:bCs/>
        </w:rPr>
        <w:t xml:space="preserve"> mode 1 UE </w:t>
      </w:r>
      <w:r w:rsidR="00D5731B" w:rsidRPr="00261D87">
        <w:rPr>
          <w:b/>
          <w:bCs/>
        </w:rPr>
        <w:t xml:space="preserve">when </w:t>
      </w:r>
      <w:r w:rsidR="008842CB" w:rsidRPr="00261D87">
        <w:rPr>
          <w:b/>
          <w:bCs/>
        </w:rPr>
        <w:t>none of the PA’s have full power capability</w:t>
      </w:r>
      <w:r w:rsidR="007E76DB">
        <w:rPr>
          <w:b/>
          <w:bCs/>
        </w:rPr>
        <w:t>.</w:t>
      </w:r>
    </w:p>
    <w:p w14:paraId="55C4CE30" w14:textId="70BF2F65" w:rsidR="00205C95" w:rsidRDefault="00FC4AE5" w:rsidP="004327A7">
      <w:r>
        <w:t xml:space="preserve">Simple solution would be to mandate UE to implement transparent </w:t>
      </w:r>
      <w:proofErr w:type="spellStart"/>
      <w:r>
        <w:t>tx</w:t>
      </w:r>
      <w:proofErr w:type="spellEnd"/>
      <w:r>
        <w:t xml:space="preserve"> diversity</w:t>
      </w:r>
      <w:r w:rsidR="00BB4EDB">
        <w:t xml:space="preserve"> if UE does not have any full power PA’s</w:t>
      </w:r>
      <w:r w:rsidR="007B3B8C">
        <w:t xml:space="preserve"> by statement that UE has to be able to produce declared full power when configured for single SRS port. </w:t>
      </w:r>
    </w:p>
    <w:p w14:paraId="718A3870" w14:textId="2E1A7399" w:rsidR="00261611" w:rsidRPr="00FA4882" w:rsidRDefault="00261611" w:rsidP="004327A7">
      <w:pPr>
        <w:rPr>
          <w:b/>
          <w:bCs/>
        </w:rPr>
      </w:pPr>
      <w:r w:rsidRPr="00FA4882">
        <w:rPr>
          <w:b/>
          <w:bCs/>
        </w:rPr>
        <w:t xml:space="preserve">Proposal 1: UE is mandated to produce declared full port </w:t>
      </w:r>
      <w:r w:rsidR="00FA4882" w:rsidRPr="00FA4882">
        <w:rPr>
          <w:b/>
          <w:bCs/>
        </w:rPr>
        <w:t xml:space="preserve">when it is configured for single SRS port. </w:t>
      </w:r>
    </w:p>
    <w:p w14:paraId="753AB6A5" w14:textId="574E38BF" w:rsidR="0002707F" w:rsidRDefault="00205C95" w:rsidP="00413873">
      <w:pPr>
        <w:pStyle w:val="Heading2"/>
      </w:pPr>
      <w:r>
        <w:t>2.</w:t>
      </w:r>
      <w:r w:rsidR="00507840">
        <w:t>3</w:t>
      </w:r>
      <w:r>
        <w:tab/>
      </w:r>
      <w:r w:rsidR="00FE608A">
        <w:t>UE declaring Mode 2 support requirements with</w:t>
      </w:r>
      <w:r>
        <w:t xml:space="preserve"> </w:t>
      </w:r>
      <w:r w:rsidR="0002707F">
        <w:t>TPMI’s [1 0] and [0 1]</w:t>
      </w:r>
    </w:p>
    <w:p w14:paraId="2B2B7000" w14:textId="3E73B322" w:rsidR="00547740" w:rsidRDefault="00C558D9" w:rsidP="004327A7">
      <w:r>
        <w:t>As</w:t>
      </w:r>
      <w:r w:rsidR="00471635">
        <w:t xml:space="preserve"> in the previous section</w:t>
      </w:r>
      <w:r>
        <w:t>s</w:t>
      </w:r>
      <w:r w:rsidR="00471635">
        <w:t>, the WF</w:t>
      </w:r>
      <w:r w:rsidR="00413873">
        <w:t xml:space="preserve"> in scenario 2</w:t>
      </w:r>
      <w:r w:rsidR="00471635">
        <w:t xml:space="preserve"> left an ambiguity</w:t>
      </w:r>
      <w:r w:rsidR="003C2245">
        <w:t xml:space="preserve"> </w:t>
      </w:r>
      <w:r w:rsidR="006410C7">
        <w:t xml:space="preserve">if UE can implement </w:t>
      </w:r>
      <w:proofErr w:type="spellStart"/>
      <w:r w:rsidR="0027421B">
        <w:t>tx</w:t>
      </w:r>
      <w:proofErr w:type="spellEnd"/>
      <w:r w:rsidR="0027421B">
        <w:t xml:space="preserve"> diversity for mode 2 precoders [1 0] or [0 1]. </w:t>
      </w:r>
      <w:r w:rsidR="00547645">
        <w:t>The</w:t>
      </w:r>
      <w:r w:rsidR="00C924CC">
        <w:t xml:space="preserve"> case where mode 2 and transparent TX would be needed are shown in Figure 1</w:t>
      </w:r>
      <w:r w:rsidR="00385D43">
        <w:t>.</w:t>
      </w:r>
      <w:r w:rsidR="00FA5157">
        <w:t xml:space="preserve"> UE</w:t>
      </w:r>
      <w:r w:rsidR="00E40A80">
        <w:t>s</w:t>
      </w:r>
      <w:r w:rsidR="00FA5157">
        <w:t xml:space="preserve"> with </w:t>
      </w:r>
      <w:r w:rsidR="00E40A80">
        <w:t>none of the</w:t>
      </w:r>
      <w:r w:rsidR="00FA5157">
        <w:t xml:space="preserve"> PA’</w:t>
      </w:r>
      <w:r w:rsidR="00E40A80">
        <w:t xml:space="preserve">s capable for full power transmission can declare </w:t>
      </w:r>
      <w:r w:rsidR="002774E6">
        <w:t xml:space="preserve">support for </w:t>
      </w:r>
      <w:r w:rsidR="00155896">
        <w:t xml:space="preserve">full power with </w:t>
      </w:r>
      <w:r w:rsidR="002774E6">
        <w:t>mode 1</w:t>
      </w:r>
      <w:r w:rsidR="00155896">
        <w:t xml:space="preserve"> and creating requirements for mode 2 with </w:t>
      </w:r>
      <w:proofErr w:type="spellStart"/>
      <w:r w:rsidR="00155896">
        <w:t>tx</w:t>
      </w:r>
      <w:proofErr w:type="spellEnd"/>
      <w:r w:rsidR="00155896">
        <w:t xml:space="preserve"> div would complicate the specification </w:t>
      </w:r>
      <w:r w:rsidR="00E92F8B">
        <w:t>unnecessarily</w:t>
      </w:r>
      <w:r w:rsidR="00155896">
        <w:t>.</w:t>
      </w:r>
    </w:p>
    <w:p w14:paraId="1E5F215D" w14:textId="6DBE27C3" w:rsidR="00AD4A94" w:rsidRDefault="00547740" w:rsidP="004327A7">
      <w:pPr>
        <w:rPr>
          <w:b/>
          <w:bCs/>
        </w:rPr>
      </w:pPr>
      <w:r w:rsidRPr="00E52ABF">
        <w:rPr>
          <w:b/>
          <w:bCs/>
        </w:rPr>
        <w:t xml:space="preserve">Proposal </w:t>
      </w:r>
      <w:r w:rsidR="00261611">
        <w:rPr>
          <w:b/>
          <w:bCs/>
        </w:rPr>
        <w:t>2</w:t>
      </w:r>
      <w:r w:rsidRPr="00E52ABF">
        <w:rPr>
          <w:b/>
          <w:bCs/>
        </w:rPr>
        <w:t xml:space="preserve">: </w:t>
      </w:r>
      <w:r w:rsidR="009010A8" w:rsidRPr="00E52ABF">
        <w:rPr>
          <w:b/>
          <w:bCs/>
        </w:rPr>
        <w:t xml:space="preserve">Transparent </w:t>
      </w:r>
      <w:proofErr w:type="spellStart"/>
      <w:r w:rsidR="009010A8" w:rsidRPr="00E52ABF">
        <w:rPr>
          <w:b/>
          <w:bCs/>
        </w:rPr>
        <w:t>tx</w:t>
      </w:r>
      <w:proofErr w:type="spellEnd"/>
      <w:r w:rsidR="009010A8" w:rsidRPr="00E52ABF">
        <w:rPr>
          <w:b/>
          <w:bCs/>
        </w:rPr>
        <w:t xml:space="preserve"> div</w:t>
      </w:r>
      <w:r w:rsidR="00E52ABF" w:rsidRPr="00E52ABF">
        <w:rPr>
          <w:b/>
          <w:bCs/>
        </w:rPr>
        <w:t>e</w:t>
      </w:r>
      <w:r w:rsidR="009010A8" w:rsidRPr="00E52ABF">
        <w:rPr>
          <w:b/>
          <w:bCs/>
        </w:rPr>
        <w:t xml:space="preserve">rsity is not assumed </w:t>
      </w:r>
      <w:r w:rsidR="00E52ABF" w:rsidRPr="00E52ABF">
        <w:rPr>
          <w:b/>
          <w:bCs/>
        </w:rPr>
        <w:t>to be activated when UE is configured for two SRS ports</w:t>
      </w:r>
      <w:r w:rsidR="00D7041D">
        <w:rPr>
          <w:b/>
          <w:bCs/>
        </w:rPr>
        <w:t xml:space="preserve"> for FR1</w:t>
      </w:r>
      <w:r w:rsidR="00E52ABF" w:rsidRPr="00E52ABF">
        <w:rPr>
          <w:b/>
          <w:bCs/>
        </w:rPr>
        <w:t xml:space="preserve">. </w:t>
      </w:r>
      <w:r w:rsidR="009010A8" w:rsidRPr="00E52ABF">
        <w:rPr>
          <w:b/>
          <w:bCs/>
        </w:rPr>
        <w:t xml:space="preserve"> </w:t>
      </w:r>
      <w:r w:rsidR="00155896" w:rsidRPr="00E52ABF">
        <w:rPr>
          <w:b/>
          <w:bCs/>
        </w:rPr>
        <w:t xml:space="preserve"> </w:t>
      </w:r>
    </w:p>
    <w:p w14:paraId="1530E21D" w14:textId="014871B3" w:rsidR="007A5187" w:rsidRPr="00AD4A94" w:rsidRDefault="00AD4A94" w:rsidP="004327A7">
      <w:r w:rsidRPr="00AD4A94">
        <w:lastRenderedPageBreak/>
        <w:t xml:space="preserve">In other words, the PA </w:t>
      </w:r>
      <w:r w:rsidR="004D1E7E">
        <w:t>c</w:t>
      </w:r>
      <w:r w:rsidRPr="00AD4A94">
        <w:t xml:space="preserve">apability 2 should be precluded from mode 2. </w:t>
      </w:r>
      <w:r w:rsidR="00155896" w:rsidRPr="00AD4A94">
        <w:t xml:space="preserve"> </w:t>
      </w:r>
    </w:p>
    <w:p w14:paraId="00421878" w14:textId="26B736A2" w:rsidR="00385D43" w:rsidRPr="00AD3832" w:rsidRDefault="00797613" w:rsidP="004327A7">
      <w:pPr>
        <w:rPr>
          <w:b/>
          <w:bCs/>
        </w:rPr>
      </w:pPr>
      <w:r w:rsidRPr="00797613">
        <w:rPr>
          <w:noProof/>
        </w:rPr>
        <w:drawing>
          <wp:inline distT="0" distB="0" distL="0" distR="0" wp14:anchorId="44A81DF0" wp14:editId="42426D82">
            <wp:extent cx="6116320" cy="2680970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268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90471E" w14:textId="32508BB4" w:rsidR="004327A7" w:rsidRDefault="00F33B7F" w:rsidP="00307920">
      <w:pPr>
        <w:pStyle w:val="TF"/>
      </w:pPr>
      <w:r>
        <w:t xml:space="preserve"> </w:t>
      </w:r>
      <w:r w:rsidR="00513CBA">
        <w:t xml:space="preserve"> </w:t>
      </w:r>
      <w:r w:rsidR="00385D43">
        <w:t>Figure 1. Mode 2 full</w:t>
      </w:r>
      <w:r w:rsidR="00797613">
        <w:t xml:space="preserve"> </w:t>
      </w:r>
      <w:r w:rsidR="00385D43">
        <w:t>power implementation</w:t>
      </w:r>
      <w:r w:rsidR="00797613">
        <w:t>s</w:t>
      </w:r>
      <w:r w:rsidR="00D4633F">
        <w:t xml:space="preserve"> requiring transparent TX diversity</w:t>
      </w:r>
      <w:r w:rsidR="00307920">
        <w:t xml:space="preserve">. Top right does not require </w:t>
      </w:r>
      <w:proofErr w:type="spellStart"/>
      <w:r w:rsidR="00307920">
        <w:t>tx</w:t>
      </w:r>
      <w:proofErr w:type="spellEnd"/>
      <w:r w:rsidR="00307920">
        <w:t xml:space="preserve"> div</w:t>
      </w:r>
    </w:p>
    <w:p w14:paraId="18ACDA86" w14:textId="7215D3B8" w:rsidR="00307920" w:rsidRDefault="00261611" w:rsidP="00307920">
      <w:r>
        <w:t xml:space="preserve">With </w:t>
      </w:r>
      <w:r w:rsidR="00FA4882">
        <w:t>the proposals above al</w:t>
      </w:r>
      <w:r w:rsidR="00C460F1">
        <w:t>l</w:t>
      </w:r>
      <w:r w:rsidR="00FA4882">
        <w:t xml:space="preserve"> the open items regarding </w:t>
      </w:r>
      <w:r w:rsidR="00C460F1">
        <w:t>Full power transmission objectives are concluded</w:t>
      </w:r>
      <w:r w:rsidR="002159EC">
        <w:t>.</w:t>
      </w:r>
      <w:r w:rsidR="00C460F1">
        <w:t xml:space="preserve"> We have provided a draft CR to </w:t>
      </w:r>
      <w:r w:rsidR="004A65E6">
        <w:t xml:space="preserve">indicate how requirements </w:t>
      </w:r>
      <w:r w:rsidR="00D030F3">
        <w:t>can be written</w:t>
      </w:r>
      <w:r w:rsidR="00A00AA6">
        <w:t xml:space="preserve"> [4]</w:t>
      </w:r>
      <w:r w:rsidR="00D030F3">
        <w:t xml:space="preserve">. This CR does not include transparent </w:t>
      </w:r>
      <w:proofErr w:type="spellStart"/>
      <w:r w:rsidR="00D030F3">
        <w:t>tx</w:t>
      </w:r>
      <w:proofErr w:type="spellEnd"/>
      <w:r w:rsidR="00D030F3">
        <w:t xml:space="preserve"> diversity implementation into specification. </w:t>
      </w:r>
    </w:p>
    <w:p w14:paraId="51A6F0F2" w14:textId="10321D9B" w:rsidR="00A00AA6" w:rsidRPr="004327A7" w:rsidRDefault="00A00AA6" w:rsidP="00307920">
      <w:r>
        <w:t xml:space="preserve">Details about how to enable </w:t>
      </w:r>
      <w:proofErr w:type="spellStart"/>
      <w:r>
        <w:t>tx</w:t>
      </w:r>
      <w:proofErr w:type="spellEnd"/>
      <w:r>
        <w:t xml:space="preserve"> diversity are still open and need to be concluded separately</w:t>
      </w:r>
      <w:r>
        <w:t>. We have provided a discussion paper to contribute to the work</w:t>
      </w:r>
      <w:r w:rsidR="00FE502C">
        <w:t xml:space="preserve"> [5] for </w:t>
      </w:r>
      <w:proofErr w:type="spellStart"/>
      <w:r w:rsidR="00FE502C">
        <w:t>tx</w:t>
      </w:r>
      <w:proofErr w:type="spellEnd"/>
      <w:r w:rsidR="00FE502C">
        <w:t xml:space="preserve"> diversity. </w:t>
      </w:r>
      <w:r>
        <w:t xml:space="preserve"> </w:t>
      </w:r>
    </w:p>
    <w:p w14:paraId="7506C8E4" w14:textId="77777777" w:rsidR="009E54DA" w:rsidRPr="001E4305" w:rsidRDefault="009E54DA" w:rsidP="009E29F1">
      <w:pPr>
        <w:pStyle w:val="Heading1"/>
        <w:jc w:val="both"/>
      </w:pPr>
      <w:r>
        <w:t>Conclusion</w:t>
      </w:r>
    </w:p>
    <w:p w14:paraId="2359A049" w14:textId="231D2D18" w:rsidR="001E728E" w:rsidRDefault="00FE6970" w:rsidP="00196C67">
      <w:r w:rsidRPr="0069318E">
        <w:t xml:space="preserve">We </w:t>
      </w:r>
      <w:r w:rsidR="00414249">
        <w:t xml:space="preserve">discussed the open items and found out that for FPULTX there are only few items open. We made </w:t>
      </w:r>
      <w:r w:rsidR="00A400DC">
        <w:t>one observation</w:t>
      </w:r>
    </w:p>
    <w:p w14:paraId="62EE962D" w14:textId="3157C57D" w:rsidR="00A400DC" w:rsidRDefault="00A400DC" w:rsidP="00A400DC">
      <w:pPr>
        <w:rPr>
          <w:b/>
          <w:bCs/>
        </w:rPr>
      </w:pPr>
      <w:r w:rsidRPr="00261D87">
        <w:rPr>
          <w:b/>
          <w:bCs/>
        </w:rPr>
        <w:t xml:space="preserve">Observation: WF did agree explicit requirements </w:t>
      </w:r>
      <w:r>
        <w:rPr>
          <w:b/>
          <w:bCs/>
        </w:rPr>
        <w:t xml:space="preserve">when </w:t>
      </w:r>
      <w:r w:rsidRPr="00261D87">
        <w:rPr>
          <w:b/>
          <w:bCs/>
        </w:rPr>
        <w:t>UE is configured for single port transmissions for mode 1 UE when none of the PA’s have full power capability</w:t>
      </w:r>
      <w:r>
        <w:rPr>
          <w:b/>
          <w:bCs/>
        </w:rPr>
        <w:t>.</w:t>
      </w:r>
    </w:p>
    <w:p w14:paraId="0F40291A" w14:textId="1FA642C2" w:rsidR="00A400DC" w:rsidRPr="00A400DC" w:rsidRDefault="00A400DC" w:rsidP="00A400DC">
      <w:r w:rsidRPr="00A400DC">
        <w:t>And made two proposals</w:t>
      </w:r>
    </w:p>
    <w:p w14:paraId="1AA80980" w14:textId="77777777" w:rsidR="00A400DC" w:rsidRPr="00FA4882" w:rsidRDefault="00A400DC" w:rsidP="00A400DC">
      <w:pPr>
        <w:rPr>
          <w:b/>
          <w:bCs/>
        </w:rPr>
      </w:pPr>
      <w:r w:rsidRPr="00FA4882">
        <w:rPr>
          <w:b/>
          <w:bCs/>
        </w:rPr>
        <w:t xml:space="preserve">Proposal 1: UE is mandated to produce declared full port when it is configured for single SRS port. </w:t>
      </w:r>
    </w:p>
    <w:p w14:paraId="6955E1BA" w14:textId="77777777" w:rsidR="00A400DC" w:rsidRDefault="00A400DC" w:rsidP="00A400DC">
      <w:pPr>
        <w:rPr>
          <w:b/>
          <w:bCs/>
        </w:rPr>
      </w:pPr>
      <w:r w:rsidRPr="00E52ABF">
        <w:rPr>
          <w:b/>
          <w:bCs/>
        </w:rPr>
        <w:t xml:space="preserve">Proposal </w:t>
      </w:r>
      <w:r>
        <w:rPr>
          <w:b/>
          <w:bCs/>
        </w:rPr>
        <w:t>2</w:t>
      </w:r>
      <w:r w:rsidRPr="00E52ABF">
        <w:rPr>
          <w:b/>
          <w:bCs/>
        </w:rPr>
        <w:t xml:space="preserve">: Transparent </w:t>
      </w:r>
      <w:proofErr w:type="spellStart"/>
      <w:r w:rsidRPr="00E52ABF">
        <w:rPr>
          <w:b/>
          <w:bCs/>
        </w:rPr>
        <w:t>tx</w:t>
      </w:r>
      <w:proofErr w:type="spellEnd"/>
      <w:r w:rsidRPr="00E52ABF">
        <w:rPr>
          <w:b/>
          <w:bCs/>
        </w:rPr>
        <w:t xml:space="preserve"> diversity is not assumed to be activated when UE is configured for two SRS ports</w:t>
      </w:r>
      <w:r>
        <w:rPr>
          <w:b/>
          <w:bCs/>
        </w:rPr>
        <w:t xml:space="preserve"> for FR1</w:t>
      </w:r>
      <w:r w:rsidRPr="00E52ABF">
        <w:rPr>
          <w:b/>
          <w:bCs/>
        </w:rPr>
        <w:t xml:space="preserve">.   </w:t>
      </w:r>
    </w:p>
    <w:p w14:paraId="1D83C378" w14:textId="77777777" w:rsidR="00A400DC" w:rsidRPr="004C3CC4" w:rsidRDefault="00A400DC" w:rsidP="00196C67">
      <w:pPr>
        <w:rPr>
          <w:b/>
          <w:bCs/>
        </w:rPr>
      </w:pPr>
    </w:p>
    <w:p w14:paraId="62E37905" w14:textId="77777777" w:rsidR="001A3B34" w:rsidRPr="009E29F1" w:rsidRDefault="001A3B34" w:rsidP="009E29F1">
      <w:pPr>
        <w:pStyle w:val="B1"/>
        <w:ind w:left="0" w:firstLine="0"/>
        <w:jc w:val="both"/>
        <w:rPr>
          <w:rFonts w:eastAsia="Malgun Gothic"/>
          <w:lang w:eastAsia="ja-JP"/>
        </w:rPr>
      </w:pPr>
    </w:p>
    <w:p w14:paraId="14C4CBBB" w14:textId="77777777" w:rsidR="0045428D" w:rsidRDefault="00934DE1" w:rsidP="009E29F1">
      <w:pPr>
        <w:pBdr>
          <w:top w:val="single" w:sz="4" w:space="1" w:color="auto"/>
        </w:pBdr>
        <w:tabs>
          <w:tab w:val="left" w:pos="3119"/>
        </w:tabs>
        <w:jc w:val="both"/>
        <w:rPr>
          <w:b/>
          <w:sz w:val="24"/>
        </w:rPr>
      </w:pPr>
      <w:r>
        <w:rPr>
          <w:b/>
          <w:sz w:val="24"/>
        </w:rPr>
        <w:t>References</w:t>
      </w:r>
      <w:r w:rsidR="0045428D">
        <w:rPr>
          <w:b/>
          <w:sz w:val="24"/>
        </w:rPr>
        <w:t>:</w:t>
      </w:r>
    </w:p>
    <w:p w14:paraId="2A2DC950" w14:textId="1F7F7ABF" w:rsidR="006B566E" w:rsidRDefault="00CF5120" w:rsidP="00A60533">
      <w:pPr>
        <w:pStyle w:val="List"/>
        <w:jc w:val="both"/>
      </w:pPr>
      <w:r w:rsidRPr="00CF5120">
        <w:t>[1]</w:t>
      </w:r>
      <w:r w:rsidRPr="00CF5120">
        <w:tab/>
      </w:r>
      <w:r w:rsidR="00A60533" w:rsidRPr="00A60533">
        <w:t>R4-2005652</w:t>
      </w:r>
      <w:r w:rsidR="00A60533">
        <w:t>, “</w:t>
      </w:r>
      <w:r w:rsidR="001C3798" w:rsidRPr="001C3798">
        <w:t>WF on Uplink Full Power Transmission</w:t>
      </w:r>
      <w:r w:rsidR="00A60533">
        <w:t xml:space="preserve">”, </w:t>
      </w:r>
      <w:r w:rsidR="001C3798" w:rsidRPr="001C3798">
        <w:t>Samsung</w:t>
      </w:r>
      <w:r w:rsidR="001C3798">
        <w:t xml:space="preserve">, </w:t>
      </w:r>
      <w:r w:rsidR="00A60533" w:rsidRPr="00A60533">
        <w:t>3GPP TSG-RAN WG4#94-e-Bis</w:t>
      </w:r>
      <w:r w:rsidR="00A60533">
        <w:t xml:space="preserve">, Online </w:t>
      </w:r>
      <w:r w:rsidR="00A60533" w:rsidRPr="00A60533">
        <w:t>Meeting, 20th – 30th Apr., 2020</w:t>
      </w:r>
    </w:p>
    <w:p w14:paraId="7894A8FB" w14:textId="59169D64" w:rsidR="007A47CC" w:rsidRDefault="007A47CC" w:rsidP="00A60533">
      <w:pPr>
        <w:pStyle w:val="List"/>
        <w:jc w:val="both"/>
      </w:pPr>
      <w:r>
        <w:t>[2]</w:t>
      </w:r>
      <w:r>
        <w:tab/>
      </w:r>
      <w:r w:rsidRPr="007A47CC">
        <w:t>R4-2004977</w:t>
      </w:r>
      <w:r>
        <w:t>, “</w:t>
      </w:r>
      <w:r w:rsidRPr="007A47CC">
        <w:t xml:space="preserve">Enabling TX diversity for </w:t>
      </w:r>
      <w:proofErr w:type="spellStart"/>
      <w:r w:rsidRPr="007A47CC">
        <w:t>eMIMO</w:t>
      </w:r>
      <w:proofErr w:type="spellEnd"/>
      <w:r>
        <w:t xml:space="preserve">”, </w:t>
      </w:r>
      <w:r w:rsidR="008C1F11" w:rsidRPr="008C1F11">
        <w:t>Qualcomm Incorporated</w:t>
      </w:r>
      <w:r w:rsidR="008C1F11">
        <w:t xml:space="preserve">, </w:t>
      </w:r>
      <w:r w:rsidR="008C1F11" w:rsidRPr="008C1F11">
        <w:t>3GPP TSG-RAN WG4#94-e-Bis, Online Meeting, 20th – 30th Apr., 2020</w:t>
      </w:r>
    </w:p>
    <w:p w14:paraId="53A0EA1B" w14:textId="385CCE8D" w:rsidR="00513CBA" w:rsidRDefault="00513CBA" w:rsidP="00A60533">
      <w:pPr>
        <w:pStyle w:val="List"/>
        <w:jc w:val="both"/>
      </w:pPr>
      <w:r w:rsidRPr="00513CBA">
        <w:t>[</w:t>
      </w:r>
      <w:r>
        <w:t>3</w:t>
      </w:r>
      <w:r w:rsidRPr="00513CBA">
        <w:t>]</w:t>
      </w:r>
      <w:r w:rsidRPr="00513CBA">
        <w:tab/>
        <w:t>R4-2005216, “WF on Power Class related UL MIMO and other requirements”, 3GPP TSG-RAN WG4#94-e-Bis Meeting, Electronic Meeting, 20th – 30th Apr.,</w:t>
      </w:r>
      <w:r w:rsidR="004A65E6">
        <w:t xml:space="preserve"> 2020</w:t>
      </w:r>
    </w:p>
    <w:p w14:paraId="5B6CDAA7" w14:textId="60C23014" w:rsidR="004A65E6" w:rsidRDefault="004A65E6" w:rsidP="00A60533">
      <w:pPr>
        <w:pStyle w:val="List"/>
        <w:jc w:val="both"/>
      </w:pPr>
      <w:r>
        <w:t xml:space="preserve">[4] </w:t>
      </w:r>
      <w:r w:rsidR="00A00AA6" w:rsidRPr="00A00AA6">
        <w:t>R4-2008050</w:t>
      </w:r>
      <w:r w:rsidR="00A00AA6">
        <w:t>, “</w:t>
      </w:r>
      <w:r w:rsidR="00A00AA6" w:rsidRPr="00A00AA6">
        <w:t>draft CR to enable FPULTX</w:t>
      </w:r>
      <w:r w:rsidR="00A00AA6">
        <w:t xml:space="preserve">”, </w:t>
      </w:r>
      <w:r w:rsidR="00A00AA6" w:rsidRPr="00A00AA6">
        <w:t>Qualcomm Incorporated</w:t>
      </w:r>
      <w:r w:rsidR="00A00AA6">
        <w:t>, RAN4#95-e, May-June 2020</w:t>
      </w:r>
    </w:p>
    <w:p w14:paraId="14BB50C0" w14:textId="2229787A" w:rsidR="00FE502C" w:rsidRDefault="00FE502C" w:rsidP="00A60533">
      <w:pPr>
        <w:pStyle w:val="List"/>
        <w:jc w:val="both"/>
      </w:pPr>
      <w:r>
        <w:lastRenderedPageBreak/>
        <w:t>[5]</w:t>
      </w:r>
      <w:r>
        <w:tab/>
      </w:r>
      <w:r w:rsidRPr="00FE502C">
        <w:t>R4-2008049</w:t>
      </w:r>
      <w:r>
        <w:t>, “</w:t>
      </w:r>
      <w:r w:rsidRPr="00FE502C">
        <w:t>Tx diversity open items for Rel-16</w:t>
      </w:r>
      <w:r>
        <w:t xml:space="preserve">”, </w:t>
      </w:r>
      <w:r w:rsidRPr="00FE502C">
        <w:t>Qualcomm Incorporated</w:t>
      </w:r>
      <w:r>
        <w:t xml:space="preserve">, </w:t>
      </w:r>
      <w:r>
        <w:t>RAN4#95-e, May-June 2020</w:t>
      </w:r>
    </w:p>
    <w:p w14:paraId="344EFEF8" w14:textId="77777777" w:rsidR="004A65E6" w:rsidRDefault="004A65E6" w:rsidP="00A60533">
      <w:pPr>
        <w:pStyle w:val="List"/>
        <w:jc w:val="both"/>
      </w:pPr>
    </w:p>
    <w:p w14:paraId="20EB65C1" w14:textId="543C7F4B" w:rsidR="007729D3" w:rsidRDefault="002360BF" w:rsidP="0068351A">
      <w:pPr>
        <w:pStyle w:val="List"/>
        <w:jc w:val="both"/>
      </w:pPr>
      <w:r>
        <w:tab/>
      </w:r>
    </w:p>
    <w:p w14:paraId="01AB5E9B" w14:textId="6C1BE8A0" w:rsidR="00D45523" w:rsidRDefault="00C32D5D" w:rsidP="00C32D5D">
      <w:pPr>
        <w:pStyle w:val="Heading1"/>
      </w:pPr>
      <w:r>
        <w:t>Appendix</w:t>
      </w:r>
    </w:p>
    <w:p w14:paraId="1A270FA9" w14:textId="1CE54BD8" w:rsidR="00514129" w:rsidRPr="00F85CEB" w:rsidRDefault="00514129" w:rsidP="00F85CEB"/>
    <w:sectPr w:rsidR="00514129" w:rsidRPr="00F85CEB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71E0934"/>
    <w:multiLevelType w:val="hybridMultilevel"/>
    <w:tmpl w:val="2CB69D0C"/>
    <w:lvl w:ilvl="0" w:tplc="A622FC2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B9A4217"/>
    <w:multiLevelType w:val="hybridMultilevel"/>
    <w:tmpl w:val="771291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16"/>
  </w:num>
  <w:num w:numId="9">
    <w:abstractNumId w:val="13"/>
  </w:num>
  <w:num w:numId="10">
    <w:abstractNumId w:val="12"/>
  </w:num>
  <w:num w:numId="11">
    <w:abstractNumId w:val="11"/>
  </w:num>
  <w:num w:numId="12">
    <w:abstractNumId w:val="8"/>
  </w:num>
  <w:num w:numId="13">
    <w:abstractNumId w:val="15"/>
  </w:num>
  <w:num w:numId="14">
    <w:abstractNumId w:val="10"/>
  </w:num>
  <w:num w:numId="15">
    <w:abstractNumId w:val="7"/>
  </w:num>
  <w:num w:numId="16">
    <w:abstractNumId w:val="17"/>
  </w:num>
  <w:num w:numId="17">
    <w:abstractNumId w:val="14"/>
  </w:num>
  <w:num w:numId="18">
    <w:abstractNumId w:val="9"/>
  </w:num>
  <w:num w:numId="19">
    <w:abstractNumId w:val="8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609"/>
    <w:rsid w:val="000023B3"/>
    <w:rsid w:val="00004594"/>
    <w:rsid w:val="0000632A"/>
    <w:rsid w:val="0000799C"/>
    <w:rsid w:val="00016A1F"/>
    <w:rsid w:val="00021CED"/>
    <w:rsid w:val="000262B9"/>
    <w:rsid w:val="0002707F"/>
    <w:rsid w:val="00032669"/>
    <w:rsid w:val="00032E00"/>
    <w:rsid w:val="00037A84"/>
    <w:rsid w:val="0004545C"/>
    <w:rsid w:val="000454A9"/>
    <w:rsid w:val="000536C0"/>
    <w:rsid w:val="000551AF"/>
    <w:rsid w:val="00055798"/>
    <w:rsid w:val="00060089"/>
    <w:rsid w:val="0006136D"/>
    <w:rsid w:val="00061B7E"/>
    <w:rsid w:val="00063679"/>
    <w:rsid w:val="0006576C"/>
    <w:rsid w:val="00073D28"/>
    <w:rsid w:val="00077EB3"/>
    <w:rsid w:val="0008109C"/>
    <w:rsid w:val="00082894"/>
    <w:rsid w:val="00082CCD"/>
    <w:rsid w:val="00082F8B"/>
    <w:rsid w:val="00086118"/>
    <w:rsid w:val="00087A4D"/>
    <w:rsid w:val="000908D9"/>
    <w:rsid w:val="00094FA2"/>
    <w:rsid w:val="000A0D34"/>
    <w:rsid w:val="000A11D9"/>
    <w:rsid w:val="000A1383"/>
    <w:rsid w:val="000A567D"/>
    <w:rsid w:val="000A643B"/>
    <w:rsid w:val="000A6F82"/>
    <w:rsid w:val="000A7714"/>
    <w:rsid w:val="000B0067"/>
    <w:rsid w:val="000B7466"/>
    <w:rsid w:val="000B7914"/>
    <w:rsid w:val="000B7DD9"/>
    <w:rsid w:val="000C3386"/>
    <w:rsid w:val="000C678D"/>
    <w:rsid w:val="000C77B4"/>
    <w:rsid w:val="000D18EC"/>
    <w:rsid w:val="000D2E91"/>
    <w:rsid w:val="000D57BE"/>
    <w:rsid w:val="000E0367"/>
    <w:rsid w:val="000E05CD"/>
    <w:rsid w:val="000E0A10"/>
    <w:rsid w:val="000E13DF"/>
    <w:rsid w:val="000E26BD"/>
    <w:rsid w:val="000E4227"/>
    <w:rsid w:val="000E4512"/>
    <w:rsid w:val="000E4E25"/>
    <w:rsid w:val="000E596C"/>
    <w:rsid w:val="000E67FA"/>
    <w:rsid w:val="000E7763"/>
    <w:rsid w:val="000E779C"/>
    <w:rsid w:val="000F0E0B"/>
    <w:rsid w:val="000F424D"/>
    <w:rsid w:val="000F502F"/>
    <w:rsid w:val="000F5178"/>
    <w:rsid w:val="000F519D"/>
    <w:rsid w:val="000F65D1"/>
    <w:rsid w:val="000F734F"/>
    <w:rsid w:val="000F7ECB"/>
    <w:rsid w:val="00100A2C"/>
    <w:rsid w:val="001026C5"/>
    <w:rsid w:val="0010618D"/>
    <w:rsid w:val="00106A15"/>
    <w:rsid w:val="001102EB"/>
    <w:rsid w:val="00110A8D"/>
    <w:rsid w:val="001111BB"/>
    <w:rsid w:val="001118BD"/>
    <w:rsid w:val="00112950"/>
    <w:rsid w:val="00115767"/>
    <w:rsid w:val="00116429"/>
    <w:rsid w:val="00116D56"/>
    <w:rsid w:val="001214AE"/>
    <w:rsid w:val="00122190"/>
    <w:rsid w:val="0012277A"/>
    <w:rsid w:val="00122952"/>
    <w:rsid w:val="00124BFA"/>
    <w:rsid w:val="0012615B"/>
    <w:rsid w:val="00126E1A"/>
    <w:rsid w:val="00130CC3"/>
    <w:rsid w:val="00131AFF"/>
    <w:rsid w:val="001351EB"/>
    <w:rsid w:val="00135650"/>
    <w:rsid w:val="00136A3E"/>
    <w:rsid w:val="0013708C"/>
    <w:rsid w:val="00137F35"/>
    <w:rsid w:val="00144FDD"/>
    <w:rsid w:val="001473DA"/>
    <w:rsid w:val="001512D7"/>
    <w:rsid w:val="001528E4"/>
    <w:rsid w:val="0015403E"/>
    <w:rsid w:val="00155896"/>
    <w:rsid w:val="00161B0A"/>
    <w:rsid w:val="00161C73"/>
    <w:rsid w:val="0016443C"/>
    <w:rsid w:val="00164802"/>
    <w:rsid w:val="00166E70"/>
    <w:rsid w:val="001705B4"/>
    <w:rsid w:val="0017266D"/>
    <w:rsid w:val="00172E65"/>
    <w:rsid w:val="00176362"/>
    <w:rsid w:val="0017734B"/>
    <w:rsid w:val="001773E5"/>
    <w:rsid w:val="00181A98"/>
    <w:rsid w:val="00184D08"/>
    <w:rsid w:val="00186C7C"/>
    <w:rsid w:val="00187A6B"/>
    <w:rsid w:val="00194778"/>
    <w:rsid w:val="00196C67"/>
    <w:rsid w:val="001972D5"/>
    <w:rsid w:val="001A31F9"/>
    <w:rsid w:val="001A3B34"/>
    <w:rsid w:val="001B0BE5"/>
    <w:rsid w:val="001B3183"/>
    <w:rsid w:val="001B6865"/>
    <w:rsid w:val="001B70ED"/>
    <w:rsid w:val="001C0326"/>
    <w:rsid w:val="001C35C8"/>
    <w:rsid w:val="001C3798"/>
    <w:rsid w:val="001C3C2A"/>
    <w:rsid w:val="001C45DE"/>
    <w:rsid w:val="001D133C"/>
    <w:rsid w:val="001D24A1"/>
    <w:rsid w:val="001D3950"/>
    <w:rsid w:val="001D4399"/>
    <w:rsid w:val="001D4A3B"/>
    <w:rsid w:val="001D502E"/>
    <w:rsid w:val="001D7260"/>
    <w:rsid w:val="001E299D"/>
    <w:rsid w:val="001E3FC9"/>
    <w:rsid w:val="001E4305"/>
    <w:rsid w:val="001E6193"/>
    <w:rsid w:val="001E6D1A"/>
    <w:rsid w:val="001E728E"/>
    <w:rsid w:val="001F21BA"/>
    <w:rsid w:val="001F4926"/>
    <w:rsid w:val="00200596"/>
    <w:rsid w:val="00201520"/>
    <w:rsid w:val="00201FB4"/>
    <w:rsid w:val="00203D36"/>
    <w:rsid w:val="00204996"/>
    <w:rsid w:val="00205C95"/>
    <w:rsid w:val="002061C3"/>
    <w:rsid w:val="00206F44"/>
    <w:rsid w:val="0021363E"/>
    <w:rsid w:val="00214B13"/>
    <w:rsid w:val="00215375"/>
    <w:rsid w:val="002159EC"/>
    <w:rsid w:val="002162D4"/>
    <w:rsid w:val="00216428"/>
    <w:rsid w:val="002164FB"/>
    <w:rsid w:val="002167A7"/>
    <w:rsid w:val="00222D66"/>
    <w:rsid w:val="0023109C"/>
    <w:rsid w:val="0023235E"/>
    <w:rsid w:val="00234AFF"/>
    <w:rsid w:val="002360BF"/>
    <w:rsid w:val="002374F1"/>
    <w:rsid w:val="002414AB"/>
    <w:rsid w:val="00241773"/>
    <w:rsid w:val="002419B2"/>
    <w:rsid w:val="00244785"/>
    <w:rsid w:val="00245069"/>
    <w:rsid w:val="002476C8"/>
    <w:rsid w:val="002510B0"/>
    <w:rsid w:val="00251CFA"/>
    <w:rsid w:val="00252F5F"/>
    <w:rsid w:val="00253CE9"/>
    <w:rsid w:val="002547B5"/>
    <w:rsid w:val="00257823"/>
    <w:rsid w:val="0026064B"/>
    <w:rsid w:val="002611B2"/>
    <w:rsid w:val="00261611"/>
    <w:rsid w:val="00261D87"/>
    <w:rsid w:val="00261FB9"/>
    <w:rsid w:val="00263CF0"/>
    <w:rsid w:val="002702A8"/>
    <w:rsid w:val="002715F5"/>
    <w:rsid w:val="00272536"/>
    <w:rsid w:val="00272F19"/>
    <w:rsid w:val="0027421B"/>
    <w:rsid w:val="002744FA"/>
    <w:rsid w:val="002774E6"/>
    <w:rsid w:val="002810D7"/>
    <w:rsid w:val="00281350"/>
    <w:rsid w:val="002820E8"/>
    <w:rsid w:val="00283766"/>
    <w:rsid w:val="00284DB5"/>
    <w:rsid w:val="002856C8"/>
    <w:rsid w:val="00285C25"/>
    <w:rsid w:val="00285FCC"/>
    <w:rsid w:val="002862FD"/>
    <w:rsid w:val="00287C9B"/>
    <w:rsid w:val="00292A75"/>
    <w:rsid w:val="00293E95"/>
    <w:rsid w:val="00294F0F"/>
    <w:rsid w:val="0029561A"/>
    <w:rsid w:val="002960BC"/>
    <w:rsid w:val="00297CCB"/>
    <w:rsid w:val="002A08FE"/>
    <w:rsid w:val="002A1C01"/>
    <w:rsid w:val="002A2998"/>
    <w:rsid w:val="002A49CB"/>
    <w:rsid w:val="002A4D20"/>
    <w:rsid w:val="002B09A1"/>
    <w:rsid w:val="002B2E70"/>
    <w:rsid w:val="002B3F06"/>
    <w:rsid w:val="002B423F"/>
    <w:rsid w:val="002B599E"/>
    <w:rsid w:val="002B74CD"/>
    <w:rsid w:val="002B76BD"/>
    <w:rsid w:val="002C35D1"/>
    <w:rsid w:val="002C3D8F"/>
    <w:rsid w:val="002C437F"/>
    <w:rsid w:val="002C65B6"/>
    <w:rsid w:val="002D2FE3"/>
    <w:rsid w:val="002D388A"/>
    <w:rsid w:val="002D3BEE"/>
    <w:rsid w:val="002D4CC7"/>
    <w:rsid w:val="002D4FBE"/>
    <w:rsid w:val="002D5477"/>
    <w:rsid w:val="002D6A81"/>
    <w:rsid w:val="002D71E6"/>
    <w:rsid w:val="002E0221"/>
    <w:rsid w:val="002E0BA1"/>
    <w:rsid w:val="002E0BF9"/>
    <w:rsid w:val="002E0D9D"/>
    <w:rsid w:val="002E4E1E"/>
    <w:rsid w:val="002E7011"/>
    <w:rsid w:val="002E7926"/>
    <w:rsid w:val="002F01D9"/>
    <w:rsid w:val="002F1C8C"/>
    <w:rsid w:val="002F22A7"/>
    <w:rsid w:val="002F28ED"/>
    <w:rsid w:val="002F303E"/>
    <w:rsid w:val="002F44DB"/>
    <w:rsid w:val="002F4F37"/>
    <w:rsid w:val="00301EDA"/>
    <w:rsid w:val="00302E72"/>
    <w:rsid w:val="003056D9"/>
    <w:rsid w:val="0030770F"/>
    <w:rsid w:val="00307920"/>
    <w:rsid w:val="0031360A"/>
    <w:rsid w:val="003218BA"/>
    <w:rsid w:val="003237C0"/>
    <w:rsid w:val="003240E2"/>
    <w:rsid w:val="00324D06"/>
    <w:rsid w:val="00326125"/>
    <w:rsid w:val="00333005"/>
    <w:rsid w:val="00333C34"/>
    <w:rsid w:val="00334D3A"/>
    <w:rsid w:val="0034635A"/>
    <w:rsid w:val="003476B3"/>
    <w:rsid w:val="003502A2"/>
    <w:rsid w:val="00353A61"/>
    <w:rsid w:val="00361075"/>
    <w:rsid w:val="003665F7"/>
    <w:rsid w:val="003675AC"/>
    <w:rsid w:val="003727DA"/>
    <w:rsid w:val="003751C3"/>
    <w:rsid w:val="00375AA5"/>
    <w:rsid w:val="00380E73"/>
    <w:rsid w:val="003829B6"/>
    <w:rsid w:val="00385D43"/>
    <w:rsid w:val="0038770D"/>
    <w:rsid w:val="00392B54"/>
    <w:rsid w:val="003945A9"/>
    <w:rsid w:val="003967C8"/>
    <w:rsid w:val="003A1D5C"/>
    <w:rsid w:val="003A288F"/>
    <w:rsid w:val="003A3B7D"/>
    <w:rsid w:val="003A43B2"/>
    <w:rsid w:val="003A4CD3"/>
    <w:rsid w:val="003A5EFB"/>
    <w:rsid w:val="003A6699"/>
    <w:rsid w:val="003A7C27"/>
    <w:rsid w:val="003B01D3"/>
    <w:rsid w:val="003B4821"/>
    <w:rsid w:val="003B4BF2"/>
    <w:rsid w:val="003B6939"/>
    <w:rsid w:val="003B6E3D"/>
    <w:rsid w:val="003B6F17"/>
    <w:rsid w:val="003C2245"/>
    <w:rsid w:val="003C3383"/>
    <w:rsid w:val="003C3C76"/>
    <w:rsid w:val="003D0F90"/>
    <w:rsid w:val="003D5111"/>
    <w:rsid w:val="003E03AF"/>
    <w:rsid w:val="003E1749"/>
    <w:rsid w:val="003E2DC3"/>
    <w:rsid w:val="003E2F76"/>
    <w:rsid w:val="003E4CBC"/>
    <w:rsid w:val="003E722B"/>
    <w:rsid w:val="003F4453"/>
    <w:rsid w:val="003F45F8"/>
    <w:rsid w:val="003F4B62"/>
    <w:rsid w:val="003F6BE8"/>
    <w:rsid w:val="003F6DA5"/>
    <w:rsid w:val="00401E05"/>
    <w:rsid w:val="00401EDB"/>
    <w:rsid w:val="00402E22"/>
    <w:rsid w:val="00403EE9"/>
    <w:rsid w:val="00404174"/>
    <w:rsid w:val="00406E12"/>
    <w:rsid w:val="00407932"/>
    <w:rsid w:val="00411126"/>
    <w:rsid w:val="00411A4E"/>
    <w:rsid w:val="004127B2"/>
    <w:rsid w:val="00413873"/>
    <w:rsid w:val="00414249"/>
    <w:rsid w:val="00414CE5"/>
    <w:rsid w:val="00415B49"/>
    <w:rsid w:val="00426CB2"/>
    <w:rsid w:val="00431997"/>
    <w:rsid w:val="00431F3B"/>
    <w:rsid w:val="00432734"/>
    <w:rsid w:val="004327A7"/>
    <w:rsid w:val="004332F3"/>
    <w:rsid w:val="00433BC4"/>
    <w:rsid w:val="004353FC"/>
    <w:rsid w:val="00435537"/>
    <w:rsid w:val="00435B76"/>
    <w:rsid w:val="00437427"/>
    <w:rsid w:val="00440855"/>
    <w:rsid w:val="00441525"/>
    <w:rsid w:val="0044330B"/>
    <w:rsid w:val="00447895"/>
    <w:rsid w:val="004533B5"/>
    <w:rsid w:val="00453D5A"/>
    <w:rsid w:val="004541DD"/>
    <w:rsid w:val="004541E5"/>
    <w:rsid w:val="0045428D"/>
    <w:rsid w:val="004544D6"/>
    <w:rsid w:val="00455125"/>
    <w:rsid w:val="00457F94"/>
    <w:rsid w:val="004609D7"/>
    <w:rsid w:val="00462017"/>
    <w:rsid w:val="00464031"/>
    <w:rsid w:val="004673F2"/>
    <w:rsid w:val="00470F0C"/>
    <w:rsid w:val="00470FD9"/>
    <w:rsid w:val="00471253"/>
    <w:rsid w:val="00471635"/>
    <w:rsid w:val="004735C3"/>
    <w:rsid w:val="004738FE"/>
    <w:rsid w:val="004739BF"/>
    <w:rsid w:val="00474FE5"/>
    <w:rsid w:val="00481250"/>
    <w:rsid w:val="00482CC5"/>
    <w:rsid w:val="00484A20"/>
    <w:rsid w:val="004861BD"/>
    <w:rsid w:val="004869C1"/>
    <w:rsid w:val="00486EC7"/>
    <w:rsid w:val="004939CA"/>
    <w:rsid w:val="00495B1F"/>
    <w:rsid w:val="00496ACF"/>
    <w:rsid w:val="00496FBC"/>
    <w:rsid w:val="004A5D51"/>
    <w:rsid w:val="004A65E6"/>
    <w:rsid w:val="004B14E2"/>
    <w:rsid w:val="004B1B0F"/>
    <w:rsid w:val="004B4815"/>
    <w:rsid w:val="004C00AA"/>
    <w:rsid w:val="004C0D64"/>
    <w:rsid w:val="004C1484"/>
    <w:rsid w:val="004C2A8F"/>
    <w:rsid w:val="004C2B2B"/>
    <w:rsid w:val="004C3CC4"/>
    <w:rsid w:val="004C5893"/>
    <w:rsid w:val="004D17AA"/>
    <w:rsid w:val="004D1E7E"/>
    <w:rsid w:val="004D288C"/>
    <w:rsid w:val="004D3585"/>
    <w:rsid w:val="004D43C9"/>
    <w:rsid w:val="004D59D7"/>
    <w:rsid w:val="004E70C1"/>
    <w:rsid w:val="004E78CB"/>
    <w:rsid w:val="004F1404"/>
    <w:rsid w:val="004F6557"/>
    <w:rsid w:val="004F6714"/>
    <w:rsid w:val="004F67D2"/>
    <w:rsid w:val="004F6C74"/>
    <w:rsid w:val="00503F2C"/>
    <w:rsid w:val="00507804"/>
    <w:rsid w:val="00507840"/>
    <w:rsid w:val="005120D5"/>
    <w:rsid w:val="00512703"/>
    <w:rsid w:val="00513CBA"/>
    <w:rsid w:val="00514129"/>
    <w:rsid w:val="00522116"/>
    <w:rsid w:val="0052280C"/>
    <w:rsid w:val="005254C9"/>
    <w:rsid w:val="00525AF3"/>
    <w:rsid w:val="0052623F"/>
    <w:rsid w:val="00530A12"/>
    <w:rsid w:val="00530EDB"/>
    <w:rsid w:val="00532DE4"/>
    <w:rsid w:val="005341AC"/>
    <w:rsid w:val="00535A25"/>
    <w:rsid w:val="005429B4"/>
    <w:rsid w:val="00542EFD"/>
    <w:rsid w:val="00543F99"/>
    <w:rsid w:val="00544048"/>
    <w:rsid w:val="0054548F"/>
    <w:rsid w:val="00547645"/>
    <w:rsid w:val="00547740"/>
    <w:rsid w:val="005511F1"/>
    <w:rsid w:val="005520D7"/>
    <w:rsid w:val="005536D9"/>
    <w:rsid w:val="005537CE"/>
    <w:rsid w:val="00555239"/>
    <w:rsid w:val="00560DAF"/>
    <w:rsid w:val="00562430"/>
    <w:rsid w:val="00562DA2"/>
    <w:rsid w:val="00563B8F"/>
    <w:rsid w:val="00565E49"/>
    <w:rsid w:val="00566B23"/>
    <w:rsid w:val="00572A81"/>
    <w:rsid w:val="00573047"/>
    <w:rsid w:val="005759CB"/>
    <w:rsid w:val="0057695F"/>
    <w:rsid w:val="00580D1F"/>
    <w:rsid w:val="00581553"/>
    <w:rsid w:val="005839AE"/>
    <w:rsid w:val="00583E7F"/>
    <w:rsid w:val="005848F7"/>
    <w:rsid w:val="00584C3A"/>
    <w:rsid w:val="0058610F"/>
    <w:rsid w:val="00586371"/>
    <w:rsid w:val="005872F9"/>
    <w:rsid w:val="00590BC6"/>
    <w:rsid w:val="0059257A"/>
    <w:rsid w:val="005945A4"/>
    <w:rsid w:val="0059794A"/>
    <w:rsid w:val="00597FAA"/>
    <w:rsid w:val="005A0F40"/>
    <w:rsid w:val="005A2AAA"/>
    <w:rsid w:val="005A5500"/>
    <w:rsid w:val="005A5594"/>
    <w:rsid w:val="005B03DB"/>
    <w:rsid w:val="005B16F2"/>
    <w:rsid w:val="005B3460"/>
    <w:rsid w:val="005B4A28"/>
    <w:rsid w:val="005C2071"/>
    <w:rsid w:val="005C2F65"/>
    <w:rsid w:val="005C6039"/>
    <w:rsid w:val="005D1530"/>
    <w:rsid w:val="005D3879"/>
    <w:rsid w:val="005D499E"/>
    <w:rsid w:val="005E1DB3"/>
    <w:rsid w:val="005E291E"/>
    <w:rsid w:val="005E2B0B"/>
    <w:rsid w:val="005E4466"/>
    <w:rsid w:val="005E553F"/>
    <w:rsid w:val="005E6BF9"/>
    <w:rsid w:val="005F33D7"/>
    <w:rsid w:val="005F35A7"/>
    <w:rsid w:val="005F3DEE"/>
    <w:rsid w:val="005F4907"/>
    <w:rsid w:val="005F6034"/>
    <w:rsid w:val="005F6A02"/>
    <w:rsid w:val="005F6C36"/>
    <w:rsid w:val="00600721"/>
    <w:rsid w:val="00600A82"/>
    <w:rsid w:val="00600AF4"/>
    <w:rsid w:val="0060313C"/>
    <w:rsid w:val="00603564"/>
    <w:rsid w:val="0060402D"/>
    <w:rsid w:val="006062AD"/>
    <w:rsid w:val="00606A5C"/>
    <w:rsid w:val="00607502"/>
    <w:rsid w:val="00612471"/>
    <w:rsid w:val="006129E3"/>
    <w:rsid w:val="00613A36"/>
    <w:rsid w:val="00615730"/>
    <w:rsid w:val="00617CA0"/>
    <w:rsid w:val="00624D0D"/>
    <w:rsid w:val="00627741"/>
    <w:rsid w:val="00627C0D"/>
    <w:rsid w:val="00630EB1"/>
    <w:rsid w:val="00631B67"/>
    <w:rsid w:val="006410C7"/>
    <w:rsid w:val="00652416"/>
    <w:rsid w:val="0065407C"/>
    <w:rsid w:val="00664963"/>
    <w:rsid w:val="006721F7"/>
    <w:rsid w:val="0067484E"/>
    <w:rsid w:val="00674D9B"/>
    <w:rsid w:val="00676488"/>
    <w:rsid w:val="0068330F"/>
    <w:rsid w:val="006834CE"/>
    <w:rsid w:val="0068351A"/>
    <w:rsid w:val="00683F3E"/>
    <w:rsid w:val="00685D84"/>
    <w:rsid w:val="00691155"/>
    <w:rsid w:val="00691500"/>
    <w:rsid w:val="00693075"/>
    <w:rsid w:val="0069318E"/>
    <w:rsid w:val="00694771"/>
    <w:rsid w:val="00694CEC"/>
    <w:rsid w:val="00695F3B"/>
    <w:rsid w:val="006A0659"/>
    <w:rsid w:val="006A0989"/>
    <w:rsid w:val="006A13CE"/>
    <w:rsid w:val="006A3DD3"/>
    <w:rsid w:val="006A4B9C"/>
    <w:rsid w:val="006A770E"/>
    <w:rsid w:val="006A7EE4"/>
    <w:rsid w:val="006B3E20"/>
    <w:rsid w:val="006B4A0C"/>
    <w:rsid w:val="006B566E"/>
    <w:rsid w:val="006B592B"/>
    <w:rsid w:val="006C0280"/>
    <w:rsid w:val="006C029D"/>
    <w:rsid w:val="006C3160"/>
    <w:rsid w:val="006C3F34"/>
    <w:rsid w:val="006C618D"/>
    <w:rsid w:val="006D09AA"/>
    <w:rsid w:val="006D244C"/>
    <w:rsid w:val="006D3DFA"/>
    <w:rsid w:val="006D46AF"/>
    <w:rsid w:val="006D55A7"/>
    <w:rsid w:val="006D5E7B"/>
    <w:rsid w:val="006D76C8"/>
    <w:rsid w:val="006E1116"/>
    <w:rsid w:val="006E14CF"/>
    <w:rsid w:val="006E274D"/>
    <w:rsid w:val="006E2C7C"/>
    <w:rsid w:val="006E5199"/>
    <w:rsid w:val="006F10C7"/>
    <w:rsid w:val="006F2300"/>
    <w:rsid w:val="006F536C"/>
    <w:rsid w:val="006F6DC3"/>
    <w:rsid w:val="006F77A5"/>
    <w:rsid w:val="007009E6"/>
    <w:rsid w:val="00700F9D"/>
    <w:rsid w:val="00703F4C"/>
    <w:rsid w:val="00704FDD"/>
    <w:rsid w:val="00707F98"/>
    <w:rsid w:val="00712363"/>
    <w:rsid w:val="00713034"/>
    <w:rsid w:val="0071422A"/>
    <w:rsid w:val="007157AA"/>
    <w:rsid w:val="00715FC0"/>
    <w:rsid w:val="0071710D"/>
    <w:rsid w:val="00721F34"/>
    <w:rsid w:val="007244F1"/>
    <w:rsid w:val="007254B7"/>
    <w:rsid w:val="00726469"/>
    <w:rsid w:val="007305C2"/>
    <w:rsid w:val="007322C1"/>
    <w:rsid w:val="007331E0"/>
    <w:rsid w:val="00733CD6"/>
    <w:rsid w:val="00736F20"/>
    <w:rsid w:val="007407CF"/>
    <w:rsid w:val="00742486"/>
    <w:rsid w:val="00743F78"/>
    <w:rsid w:val="007477B0"/>
    <w:rsid w:val="00752D1F"/>
    <w:rsid w:val="0075352D"/>
    <w:rsid w:val="007540C2"/>
    <w:rsid w:val="007570E4"/>
    <w:rsid w:val="00757789"/>
    <w:rsid w:val="00757E61"/>
    <w:rsid w:val="00764EF5"/>
    <w:rsid w:val="007729D3"/>
    <w:rsid w:val="00774F6F"/>
    <w:rsid w:val="0077509A"/>
    <w:rsid w:val="007816A2"/>
    <w:rsid w:val="007817F0"/>
    <w:rsid w:val="0078255A"/>
    <w:rsid w:val="00790817"/>
    <w:rsid w:val="00791A1D"/>
    <w:rsid w:val="00791CE3"/>
    <w:rsid w:val="00792165"/>
    <w:rsid w:val="00793914"/>
    <w:rsid w:val="00795AC4"/>
    <w:rsid w:val="00797613"/>
    <w:rsid w:val="007A0558"/>
    <w:rsid w:val="007A1A88"/>
    <w:rsid w:val="007A47CC"/>
    <w:rsid w:val="007A5187"/>
    <w:rsid w:val="007A6A4B"/>
    <w:rsid w:val="007B0169"/>
    <w:rsid w:val="007B3B8C"/>
    <w:rsid w:val="007B4868"/>
    <w:rsid w:val="007B605F"/>
    <w:rsid w:val="007B6A5D"/>
    <w:rsid w:val="007B6FCF"/>
    <w:rsid w:val="007B78CB"/>
    <w:rsid w:val="007C0F85"/>
    <w:rsid w:val="007C1F3E"/>
    <w:rsid w:val="007C6050"/>
    <w:rsid w:val="007C6060"/>
    <w:rsid w:val="007D1826"/>
    <w:rsid w:val="007D754E"/>
    <w:rsid w:val="007D7F6F"/>
    <w:rsid w:val="007E35C3"/>
    <w:rsid w:val="007E62D2"/>
    <w:rsid w:val="007E76DB"/>
    <w:rsid w:val="007E7964"/>
    <w:rsid w:val="007F2458"/>
    <w:rsid w:val="007F3E1E"/>
    <w:rsid w:val="007F5A2D"/>
    <w:rsid w:val="008013A1"/>
    <w:rsid w:val="0080287E"/>
    <w:rsid w:val="0080320A"/>
    <w:rsid w:val="00805533"/>
    <w:rsid w:val="008121DC"/>
    <w:rsid w:val="00815E51"/>
    <w:rsid w:val="00816E40"/>
    <w:rsid w:val="00817E91"/>
    <w:rsid w:val="00817F6D"/>
    <w:rsid w:val="0082139D"/>
    <w:rsid w:val="0082323B"/>
    <w:rsid w:val="00824ED5"/>
    <w:rsid w:val="00825E90"/>
    <w:rsid w:val="00826071"/>
    <w:rsid w:val="00830C2E"/>
    <w:rsid w:val="008365AC"/>
    <w:rsid w:val="00843682"/>
    <w:rsid w:val="00843945"/>
    <w:rsid w:val="008479CC"/>
    <w:rsid w:val="00850213"/>
    <w:rsid w:val="008514BE"/>
    <w:rsid w:val="00855362"/>
    <w:rsid w:val="00857267"/>
    <w:rsid w:val="00857E54"/>
    <w:rsid w:val="008658F8"/>
    <w:rsid w:val="0087550B"/>
    <w:rsid w:val="00876243"/>
    <w:rsid w:val="00881ABF"/>
    <w:rsid w:val="008828B6"/>
    <w:rsid w:val="008842CB"/>
    <w:rsid w:val="00885E3A"/>
    <w:rsid w:val="008874E3"/>
    <w:rsid w:val="008956B3"/>
    <w:rsid w:val="0089613D"/>
    <w:rsid w:val="008979F8"/>
    <w:rsid w:val="008A1C58"/>
    <w:rsid w:val="008A4882"/>
    <w:rsid w:val="008A4C1E"/>
    <w:rsid w:val="008A7ACC"/>
    <w:rsid w:val="008B0FCF"/>
    <w:rsid w:val="008B1A7B"/>
    <w:rsid w:val="008B3ED1"/>
    <w:rsid w:val="008B5B7D"/>
    <w:rsid w:val="008C1F11"/>
    <w:rsid w:val="008C2117"/>
    <w:rsid w:val="008C48DA"/>
    <w:rsid w:val="008C4EA7"/>
    <w:rsid w:val="008C7AB1"/>
    <w:rsid w:val="008D00B6"/>
    <w:rsid w:val="008D305A"/>
    <w:rsid w:val="008E1A41"/>
    <w:rsid w:val="008E267F"/>
    <w:rsid w:val="008E3045"/>
    <w:rsid w:val="008E3399"/>
    <w:rsid w:val="008E4738"/>
    <w:rsid w:val="008E4929"/>
    <w:rsid w:val="008E6571"/>
    <w:rsid w:val="008F13B3"/>
    <w:rsid w:val="008F302B"/>
    <w:rsid w:val="008F3089"/>
    <w:rsid w:val="008F3EA8"/>
    <w:rsid w:val="008F63B0"/>
    <w:rsid w:val="008F6E8C"/>
    <w:rsid w:val="008F7C02"/>
    <w:rsid w:val="009010A8"/>
    <w:rsid w:val="0090240B"/>
    <w:rsid w:val="0090537C"/>
    <w:rsid w:val="00906CD4"/>
    <w:rsid w:val="00907342"/>
    <w:rsid w:val="0091432F"/>
    <w:rsid w:val="009333E0"/>
    <w:rsid w:val="00933A20"/>
    <w:rsid w:val="00934DA0"/>
    <w:rsid w:val="00934DE1"/>
    <w:rsid w:val="00936770"/>
    <w:rsid w:val="009370EF"/>
    <w:rsid w:val="00943967"/>
    <w:rsid w:val="009445BD"/>
    <w:rsid w:val="00945CB2"/>
    <w:rsid w:val="00950115"/>
    <w:rsid w:val="0095069C"/>
    <w:rsid w:val="00952488"/>
    <w:rsid w:val="009530FF"/>
    <w:rsid w:val="00953FDE"/>
    <w:rsid w:val="009542D5"/>
    <w:rsid w:val="00954D53"/>
    <w:rsid w:val="00960088"/>
    <w:rsid w:val="0096054F"/>
    <w:rsid w:val="00960F31"/>
    <w:rsid w:val="00962566"/>
    <w:rsid w:val="00962E37"/>
    <w:rsid w:val="00965FD5"/>
    <w:rsid w:val="009673C2"/>
    <w:rsid w:val="00970373"/>
    <w:rsid w:val="009716E4"/>
    <w:rsid w:val="00973562"/>
    <w:rsid w:val="0097566C"/>
    <w:rsid w:val="00977122"/>
    <w:rsid w:val="009777F8"/>
    <w:rsid w:val="009809DF"/>
    <w:rsid w:val="00980CA6"/>
    <w:rsid w:val="009824CC"/>
    <w:rsid w:val="0098447D"/>
    <w:rsid w:val="009847DF"/>
    <w:rsid w:val="009857BF"/>
    <w:rsid w:val="0098631B"/>
    <w:rsid w:val="009872DA"/>
    <w:rsid w:val="009958EC"/>
    <w:rsid w:val="009A0F88"/>
    <w:rsid w:val="009A2557"/>
    <w:rsid w:val="009B0424"/>
    <w:rsid w:val="009B100E"/>
    <w:rsid w:val="009B2026"/>
    <w:rsid w:val="009B3DF2"/>
    <w:rsid w:val="009B4236"/>
    <w:rsid w:val="009B4544"/>
    <w:rsid w:val="009B5BC7"/>
    <w:rsid w:val="009B5E87"/>
    <w:rsid w:val="009B6D6B"/>
    <w:rsid w:val="009C054C"/>
    <w:rsid w:val="009C3155"/>
    <w:rsid w:val="009D21B1"/>
    <w:rsid w:val="009D43B5"/>
    <w:rsid w:val="009D51F8"/>
    <w:rsid w:val="009D56E6"/>
    <w:rsid w:val="009D6F57"/>
    <w:rsid w:val="009E08C2"/>
    <w:rsid w:val="009E0C9D"/>
    <w:rsid w:val="009E2623"/>
    <w:rsid w:val="009E2826"/>
    <w:rsid w:val="009E29F1"/>
    <w:rsid w:val="009E54DA"/>
    <w:rsid w:val="009E60F6"/>
    <w:rsid w:val="009E6DAC"/>
    <w:rsid w:val="009F06A4"/>
    <w:rsid w:val="009F1DBF"/>
    <w:rsid w:val="009F63CE"/>
    <w:rsid w:val="009F7CA7"/>
    <w:rsid w:val="00A00AA6"/>
    <w:rsid w:val="00A04C18"/>
    <w:rsid w:val="00A04F2A"/>
    <w:rsid w:val="00A10090"/>
    <w:rsid w:val="00A13761"/>
    <w:rsid w:val="00A1508D"/>
    <w:rsid w:val="00A15703"/>
    <w:rsid w:val="00A160CC"/>
    <w:rsid w:val="00A167BE"/>
    <w:rsid w:val="00A17D67"/>
    <w:rsid w:val="00A20FB4"/>
    <w:rsid w:val="00A2145E"/>
    <w:rsid w:val="00A23DBD"/>
    <w:rsid w:val="00A24765"/>
    <w:rsid w:val="00A307F8"/>
    <w:rsid w:val="00A30923"/>
    <w:rsid w:val="00A31D08"/>
    <w:rsid w:val="00A32A9B"/>
    <w:rsid w:val="00A32B6E"/>
    <w:rsid w:val="00A37DA5"/>
    <w:rsid w:val="00A400DC"/>
    <w:rsid w:val="00A41E7B"/>
    <w:rsid w:val="00A423D6"/>
    <w:rsid w:val="00A47107"/>
    <w:rsid w:val="00A47BB0"/>
    <w:rsid w:val="00A517EF"/>
    <w:rsid w:val="00A51DCB"/>
    <w:rsid w:val="00A529F2"/>
    <w:rsid w:val="00A53D14"/>
    <w:rsid w:val="00A60533"/>
    <w:rsid w:val="00A608BF"/>
    <w:rsid w:val="00A612AF"/>
    <w:rsid w:val="00A6587D"/>
    <w:rsid w:val="00A71EE8"/>
    <w:rsid w:val="00A72240"/>
    <w:rsid w:val="00A74DCB"/>
    <w:rsid w:val="00A75663"/>
    <w:rsid w:val="00A7671B"/>
    <w:rsid w:val="00A812C2"/>
    <w:rsid w:val="00A818AA"/>
    <w:rsid w:val="00A81947"/>
    <w:rsid w:val="00A8259B"/>
    <w:rsid w:val="00A84D9B"/>
    <w:rsid w:val="00A854DA"/>
    <w:rsid w:val="00A874DC"/>
    <w:rsid w:val="00A92091"/>
    <w:rsid w:val="00A948A5"/>
    <w:rsid w:val="00A94ACA"/>
    <w:rsid w:val="00A94C50"/>
    <w:rsid w:val="00A95F39"/>
    <w:rsid w:val="00A96EFD"/>
    <w:rsid w:val="00A979DE"/>
    <w:rsid w:val="00AA33EC"/>
    <w:rsid w:val="00AA4632"/>
    <w:rsid w:val="00AA6C2D"/>
    <w:rsid w:val="00AA7D4A"/>
    <w:rsid w:val="00AB01BD"/>
    <w:rsid w:val="00AB5453"/>
    <w:rsid w:val="00AB6DDF"/>
    <w:rsid w:val="00AC3511"/>
    <w:rsid w:val="00AC5C6C"/>
    <w:rsid w:val="00AC60CF"/>
    <w:rsid w:val="00AD083E"/>
    <w:rsid w:val="00AD1FD4"/>
    <w:rsid w:val="00AD27AB"/>
    <w:rsid w:val="00AD3832"/>
    <w:rsid w:val="00AD3AD1"/>
    <w:rsid w:val="00AD4A94"/>
    <w:rsid w:val="00AD6210"/>
    <w:rsid w:val="00AD6423"/>
    <w:rsid w:val="00AD73C1"/>
    <w:rsid w:val="00AD7D8B"/>
    <w:rsid w:val="00AE0D48"/>
    <w:rsid w:val="00AE0DB0"/>
    <w:rsid w:val="00AE1691"/>
    <w:rsid w:val="00AE5B42"/>
    <w:rsid w:val="00AE71A8"/>
    <w:rsid w:val="00AF1C5B"/>
    <w:rsid w:val="00AF2933"/>
    <w:rsid w:val="00AF5CBA"/>
    <w:rsid w:val="00AF5E77"/>
    <w:rsid w:val="00B015F9"/>
    <w:rsid w:val="00B03E3A"/>
    <w:rsid w:val="00B059C7"/>
    <w:rsid w:val="00B074EB"/>
    <w:rsid w:val="00B07ADD"/>
    <w:rsid w:val="00B10065"/>
    <w:rsid w:val="00B10A08"/>
    <w:rsid w:val="00B115F8"/>
    <w:rsid w:val="00B12D14"/>
    <w:rsid w:val="00B14E5B"/>
    <w:rsid w:val="00B15336"/>
    <w:rsid w:val="00B23705"/>
    <w:rsid w:val="00B24890"/>
    <w:rsid w:val="00B26C27"/>
    <w:rsid w:val="00B26F55"/>
    <w:rsid w:val="00B31916"/>
    <w:rsid w:val="00B33522"/>
    <w:rsid w:val="00B3609A"/>
    <w:rsid w:val="00B3741F"/>
    <w:rsid w:val="00B37947"/>
    <w:rsid w:val="00B420A4"/>
    <w:rsid w:val="00B42841"/>
    <w:rsid w:val="00B42867"/>
    <w:rsid w:val="00B4352E"/>
    <w:rsid w:val="00B4412A"/>
    <w:rsid w:val="00B45164"/>
    <w:rsid w:val="00B458CF"/>
    <w:rsid w:val="00B46B41"/>
    <w:rsid w:val="00B50A7B"/>
    <w:rsid w:val="00B53CDA"/>
    <w:rsid w:val="00B5401D"/>
    <w:rsid w:val="00B5499F"/>
    <w:rsid w:val="00B562D6"/>
    <w:rsid w:val="00B57E31"/>
    <w:rsid w:val="00B60568"/>
    <w:rsid w:val="00B60967"/>
    <w:rsid w:val="00B64223"/>
    <w:rsid w:val="00B74655"/>
    <w:rsid w:val="00B753CF"/>
    <w:rsid w:val="00B77567"/>
    <w:rsid w:val="00B81F12"/>
    <w:rsid w:val="00B90EDB"/>
    <w:rsid w:val="00B91CB2"/>
    <w:rsid w:val="00B9250E"/>
    <w:rsid w:val="00B93E4E"/>
    <w:rsid w:val="00B94B0F"/>
    <w:rsid w:val="00B96DB8"/>
    <w:rsid w:val="00BA0242"/>
    <w:rsid w:val="00BA0B39"/>
    <w:rsid w:val="00BA3C61"/>
    <w:rsid w:val="00BA4DF2"/>
    <w:rsid w:val="00BA7246"/>
    <w:rsid w:val="00BA7EE8"/>
    <w:rsid w:val="00BB03D6"/>
    <w:rsid w:val="00BB2DCE"/>
    <w:rsid w:val="00BB33C0"/>
    <w:rsid w:val="00BB4EDB"/>
    <w:rsid w:val="00BC43B8"/>
    <w:rsid w:val="00BC7710"/>
    <w:rsid w:val="00BD3B8C"/>
    <w:rsid w:val="00BD705D"/>
    <w:rsid w:val="00BE2B6F"/>
    <w:rsid w:val="00BE3C14"/>
    <w:rsid w:val="00BE45AF"/>
    <w:rsid w:val="00BE75DA"/>
    <w:rsid w:val="00BE7938"/>
    <w:rsid w:val="00BF1A6C"/>
    <w:rsid w:val="00BF2F85"/>
    <w:rsid w:val="00BF2FC6"/>
    <w:rsid w:val="00BF3C2F"/>
    <w:rsid w:val="00BF5143"/>
    <w:rsid w:val="00BF7ADB"/>
    <w:rsid w:val="00BF7C46"/>
    <w:rsid w:val="00C00EAD"/>
    <w:rsid w:val="00C0108F"/>
    <w:rsid w:val="00C01262"/>
    <w:rsid w:val="00C02378"/>
    <w:rsid w:val="00C02EAC"/>
    <w:rsid w:val="00C037D8"/>
    <w:rsid w:val="00C03FE3"/>
    <w:rsid w:val="00C04E6E"/>
    <w:rsid w:val="00C06D5E"/>
    <w:rsid w:val="00C07551"/>
    <w:rsid w:val="00C10C7E"/>
    <w:rsid w:val="00C1219E"/>
    <w:rsid w:val="00C15214"/>
    <w:rsid w:val="00C15D52"/>
    <w:rsid w:val="00C17472"/>
    <w:rsid w:val="00C17899"/>
    <w:rsid w:val="00C21D61"/>
    <w:rsid w:val="00C2400B"/>
    <w:rsid w:val="00C27A94"/>
    <w:rsid w:val="00C305D7"/>
    <w:rsid w:val="00C32014"/>
    <w:rsid w:val="00C32114"/>
    <w:rsid w:val="00C32D5D"/>
    <w:rsid w:val="00C341DC"/>
    <w:rsid w:val="00C3557A"/>
    <w:rsid w:val="00C35671"/>
    <w:rsid w:val="00C35BEC"/>
    <w:rsid w:val="00C41734"/>
    <w:rsid w:val="00C4194B"/>
    <w:rsid w:val="00C41A0E"/>
    <w:rsid w:val="00C4330B"/>
    <w:rsid w:val="00C4562B"/>
    <w:rsid w:val="00C45FFE"/>
    <w:rsid w:val="00C460F1"/>
    <w:rsid w:val="00C50D32"/>
    <w:rsid w:val="00C510C1"/>
    <w:rsid w:val="00C518A4"/>
    <w:rsid w:val="00C51D0C"/>
    <w:rsid w:val="00C53CC5"/>
    <w:rsid w:val="00C558D9"/>
    <w:rsid w:val="00C56833"/>
    <w:rsid w:val="00C5689D"/>
    <w:rsid w:val="00C640F2"/>
    <w:rsid w:val="00C6423E"/>
    <w:rsid w:val="00C65F17"/>
    <w:rsid w:val="00C67711"/>
    <w:rsid w:val="00C70095"/>
    <w:rsid w:val="00C766D1"/>
    <w:rsid w:val="00C77E1F"/>
    <w:rsid w:val="00C80F61"/>
    <w:rsid w:val="00C815E8"/>
    <w:rsid w:val="00C83E56"/>
    <w:rsid w:val="00C908CF"/>
    <w:rsid w:val="00C90AE8"/>
    <w:rsid w:val="00C90E33"/>
    <w:rsid w:val="00C924CC"/>
    <w:rsid w:val="00C9285A"/>
    <w:rsid w:val="00C94D38"/>
    <w:rsid w:val="00C9521B"/>
    <w:rsid w:val="00CA1308"/>
    <w:rsid w:val="00CA134D"/>
    <w:rsid w:val="00CA35AD"/>
    <w:rsid w:val="00CA3C5F"/>
    <w:rsid w:val="00CA4D46"/>
    <w:rsid w:val="00CB1183"/>
    <w:rsid w:val="00CB171D"/>
    <w:rsid w:val="00CB7443"/>
    <w:rsid w:val="00CC1CFE"/>
    <w:rsid w:val="00CC2EE7"/>
    <w:rsid w:val="00CC358C"/>
    <w:rsid w:val="00CC42B1"/>
    <w:rsid w:val="00CC5E70"/>
    <w:rsid w:val="00CC6DBC"/>
    <w:rsid w:val="00CD230E"/>
    <w:rsid w:val="00CD7E94"/>
    <w:rsid w:val="00CE0325"/>
    <w:rsid w:val="00CE062E"/>
    <w:rsid w:val="00CE29D5"/>
    <w:rsid w:val="00CE3E8B"/>
    <w:rsid w:val="00CE5127"/>
    <w:rsid w:val="00CE6D8D"/>
    <w:rsid w:val="00CF28B5"/>
    <w:rsid w:val="00CF3819"/>
    <w:rsid w:val="00CF5120"/>
    <w:rsid w:val="00D01AE8"/>
    <w:rsid w:val="00D030F3"/>
    <w:rsid w:val="00D03ED7"/>
    <w:rsid w:val="00D077D9"/>
    <w:rsid w:val="00D07C18"/>
    <w:rsid w:val="00D10C6E"/>
    <w:rsid w:val="00D13FDD"/>
    <w:rsid w:val="00D153CC"/>
    <w:rsid w:val="00D17AFB"/>
    <w:rsid w:val="00D2128A"/>
    <w:rsid w:val="00D22BF3"/>
    <w:rsid w:val="00D2529E"/>
    <w:rsid w:val="00D25AA5"/>
    <w:rsid w:val="00D316D0"/>
    <w:rsid w:val="00D34FA3"/>
    <w:rsid w:val="00D35B3D"/>
    <w:rsid w:val="00D3699F"/>
    <w:rsid w:val="00D37E36"/>
    <w:rsid w:val="00D40141"/>
    <w:rsid w:val="00D432EC"/>
    <w:rsid w:val="00D43454"/>
    <w:rsid w:val="00D4463A"/>
    <w:rsid w:val="00D45523"/>
    <w:rsid w:val="00D45657"/>
    <w:rsid w:val="00D460FA"/>
    <w:rsid w:val="00D461BE"/>
    <w:rsid w:val="00D4633F"/>
    <w:rsid w:val="00D5731B"/>
    <w:rsid w:val="00D57735"/>
    <w:rsid w:val="00D62372"/>
    <w:rsid w:val="00D624B1"/>
    <w:rsid w:val="00D62530"/>
    <w:rsid w:val="00D65166"/>
    <w:rsid w:val="00D65CEF"/>
    <w:rsid w:val="00D66097"/>
    <w:rsid w:val="00D675FC"/>
    <w:rsid w:val="00D7041D"/>
    <w:rsid w:val="00D817BD"/>
    <w:rsid w:val="00D81C65"/>
    <w:rsid w:val="00D84406"/>
    <w:rsid w:val="00D84AD2"/>
    <w:rsid w:val="00D90908"/>
    <w:rsid w:val="00D921DD"/>
    <w:rsid w:val="00D92533"/>
    <w:rsid w:val="00D9419D"/>
    <w:rsid w:val="00D9748C"/>
    <w:rsid w:val="00D97830"/>
    <w:rsid w:val="00DA05A9"/>
    <w:rsid w:val="00DA3470"/>
    <w:rsid w:val="00DA65A6"/>
    <w:rsid w:val="00DB0AEC"/>
    <w:rsid w:val="00DB1598"/>
    <w:rsid w:val="00DB6549"/>
    <w:rsid w:val="00DC1875"/>
    <w:rsid w:val="00DC23A2"/>
    <w:rsid w:val="00DC2574"/>
    <w:rsid w:val="00DC278D"/>
    <w:rsid w:val="00DC3625"/>
    <w:rsid w:val="00DC5180"/>
    <w:rsid w:val="00DD0D18"/>
    <w:rsid w:val="00DD3080"/>
    <w:rsid w:val="00DD34BB"/>
    <w:rsid w:val="00DD358F"/>
    <w:rsid w:val="00DD3D0C"/>
    <w:rsid w:val="00DD3D21"/>
    <w:rsid w:val="00DE6274"/>
    <w:rsid w:val="00DF0B12"/>
    <w:rsid w:val="00DF2877"/>
    <w:rsid w:val="00DF53A6"/>
    <w:rsid w:val="00DF77AA"/>
    <w:rsid w:val="00E07016"/>
    <w:rsid w:val="00E07822"/>
    <w:rsid w:val="00E07880"/>
    <w:rsid w:val="00E166DD"/>
    <w:rsid w:val="00E20DEC"/>
    <w:rsid w:val="00E21BC3"/>
    <w:rsid w:val="00E22926"/>
    <w:rsid w:val="00E25B97"/>
    <w:rsid w:val="00E30BA1"/>
    <w:rsid w:val="00E31BC0"/>
    <w:rsid w:val="00E31C6D"/>
    <w:rsid w:val="00E33B8C"/>
    <w:rsid w:val="00E34EDE"/>
    <w:rsid w:val="00E35269"/>
    <w:rsid w:val="00E35657"/>
    <w:rsid w:val="00E40A80"/>
    <w:rsid w:val="00E41A6F"/>
    <w:rsid w:val="00E42ADF"/>
    <w:rsid w:val="00E43292"/>
    <w:rsid w:val="00E46298"/>
    <w:rsid w:val="00E476A8"/>
    <w:rsid w:val="00E47CC9"/>
    <w:rsid w:val="00E5077B"/>
    <w:rsid w:val="00E509F8"/>
    <w:rsid w:val="00E52ABF"/>
    <w:rsid w:val="00E54351"/>
    <w:rsid w:val="00E55316"/>
    <w:rsid w:val="00E5616F"/>
    <w:rsid w:val="00E56DB5"/>
    <w:rsid w:val="00E61467"/>
    <w:rsid w:val="00E63F53"/>
    <w:rsid w:val="00E6511D"/>
    <w:rsid w:val="00E66350"/>
    <w:rsid w:val="00E70D04"/>
    <w:rsid w:val="00E70D3D"/>
    <w:rsid w:val="00E70DFD"/>
    <w:rsid w:val="00E71186"/>
    <w:rsid w:val="00E72533"/>
    <w:rsid w:val="00E725FA"/>
    <w:rsid w:val="00E727F4"/>
    <w:rsid w:val="00E73035"/>
    <w:rsid w:val="00E73327"/>
    <w:rsid w:val="00E733D3"/>
    <w:rsid w:val="00E73A82"/>
    <w:rsid w:val="00E73B27"/>
    <w:rsid w:val="00E75D55"/>
    <w:rsid w:val="00E75F6D"/>
    <w:rsid w:val="00E76FFC"/>
    <w:rsid w:val="00E771FF"/>
    <w:rsid w:val="00E821F6"/>
    <w:rsid w:val="00E82F3C"/>
    <w:rsid w:val="00E83D1C"/>
    <w:rsid w:val="00E8586B"/>
    <w:rsid w:val="00E85F30"/>
    <w:rsid w:val="00E92B0C"/>
    <w:rsid w:val="00E92F8B"/>
    <w:rsid w:val="00E94165"/>
    <w:rsid w:val="00E96910"/>
    <w:rsid w:val="00EA33CB"/>
    <w:rsid w:val="00EA416E"/>
    <w:rsid w:val="00EA438F"/>
    <w:rsid w:val="00EA57FC"/>
    <w:rsid w:val="00EB08CC"/>
    <w:rsid w:val="00EB2720"/>
    <w:rsid w:val="00EB54AB"/>
    <w:rsid w:val="00EB73E3"/>
    <w:rsid w:val="00EB750D"/>
    <w:rsid w:val="00EC039A"/>
    <w:rsid w:val="00EC073F"/>
    <w:rsid w:val="00EC14BF"/>
    <w:rsid w:val="00EC3593"/>
    <w:rsid w:val="00EC3EE0"/>
    <w:rsid w:val="00ED29CF"/>
    <w:rsid w:val="00ED3064"/>
    <w:rsid w:val="00ED38DE"/>
    <w:rsid w:val="00ED414A"/>
    <w:rsid w:val="00ED501C"/>
    <w:rsid w:val="00EE0159"/>
    <w:rsid w:val="00EE1F35"/>
    <w:rsid w:val="00EE4179"/>
    <w:rsid w:val="00EE45C2"/>
    <w:rsid w:val="00EE4DC7"/>
    <w:rsid w:val="00EE6677"/>
    <w:rsid w:val="00EF44EE"/>
    <w:rsid w:val="00EF4DBE"/>
    <w:rsid w:val="00EF5C4B"/>
    <w:rsid w:val="00EF60CC"/>
    <w:rsid w:val="00EF752A"/>
    <w:rsid w:val="00EF7949"/>
    <w:rsid w:val="00F00686"/>
    <w:rsid w:val="00F03916"/>
    <w:rsid w:val="00F03E83"/>
    <w:rsid w:val="00F05812"/>
    <w:rsid w:val="00F06E5E"/>
    <w:rsid w:val="00F107C7"/>
    <w:rsid w:val="00F13034"/>
    <w:rsid w:val="00F162F5"/>
    <w:rsid w:val="00F163B9"/>
    <w:rsid w:val="00F173E4"/>
    <w:rsid w:val="00F26506"/>
    <w:rsid w:val="00F33520"/>
    <w:rsid w:val="00F336EF"/>
    <w:rsid w:val="00F33B7F"/>
    <w:rsid w:val="00F34364"/>
    <w:rsid w:val="00F35CAF"/>
    <w:rsid w:val="00F373A1"/>
    <w:rsid w:val="00F405E7"/>
    <w:rsid w:val="00F41196"/>
    <w:rsid w:val="00F44D73"/>
    <w:rsid w:val="00F454C6"/>
    <w:rsid w:val="00F5161E"/>
    <w:rsid w:val="00F5299C"/>
    <w:rsid w:val="00F52EA9"/>
    <w:rsid w:val="00F53378"/>
    <w:rsid w:val="00F54798"/>
    <w:rsid w:val="00F5704A"/>
    <w:rsid w:val="00F571A7"/>
    <w:rsid w:val="00F63181"/>
    <w:rsid w:val="00F63794"/>
    <w:rsid w:val="00F65B52"/>
    <w:rsid w:val="00F670DF"/>
    <w:rsid w:val="00F7134B"/>
    <w:rsid w:val="00F71BC2"/>
    <w:rsid w:val="00F72902"/>
    <w:rsid w:val="00F759F5"/>
    <w:rsid w:val="00F80AAF"/>
    <w:rsid w:val="00F82942"/>
    <w:rsid w:val="00F8462C"/>
    <w:rsid w:val="00F84E29"/>
    <w:rsid w:val="00F85AF0"/>
    <w:rsid w:val="00F85CEB"/>
    <w:rsid w:val="00F86264"/>
    <w:rsid w:val="00F91D60"/>
    <w:rsid w:val="00F95DBA"/>
    <w:rsid w:val="00F9725A"/>
    <w:rsid w:val="00FA0787"/>
    <w:rsid w:val="00FA2957"/>
    <w:rsid w:val="00FA3432"/>
    <w:rsid w:val="00FA38B0"/>
    <w:rsid w:val="00FA4882"/>
    <w:rsid w:val="00FA4A0C"/>
    <w:rsid w:val="00FA5157"/>
    <w:rsid w:val="00FA6FCA"/>
    <w:rsid w:val="00FB0320"/>
    <w:rsid w:val="00FB1CBF"/>
    <w:rsid w:val="00FB1F54"/>
    <w:rsid w:val="00FB2922"/>
    <w:rsid w:val="00FB3B7C"/>
    <w:rsid w:val="00FC0980"/>
    <w:rsid w:val="00FC36C8"/>
    <w:rsid w:val="00FC4AE5"/>
    <w:rsid w:val="00FC7189"/>
    <w:rsid w:val="00FC7B97"/>
    <w:rsid w:val="00FD1B48"/>
    <w:rsid w:val="00FD41A9"/>
    <w:rsid w:val="00FD64E0"/>
    <w:rsid w:val="00FD7C6A"/>
    <w:rsid w:val="00FE023B"/>
    <w:rsid w:val="00FE0BBA"/>
    <w:rsid w:val="00FE2D98"/>
    <w:rsid w:val="00FE3315"/>
    <w:rsid w:val="00FE3E52"/>
    <w:rsid w:val="00FE4A5D"/>
    <w:rsid w:val="00FE502C"/>
    <w:rsid w:val="00FE5460"/>
    <w:rsid w:val="00FE608A"/>
    <w:rsid w:val="00FE61C1"/>
    <w:rsid w:val="00FE6970"/>
    <w:rsid w:val="00FF0AD2"/>
    <w:rsid w:val="00FF1271"/>
    <w:rsid w:val="00FF1E37"/>
    <w:rsid w:val="00FF3D26"/>
    <w:rsid w:val="00FF4E93"/>
    <w:rsid w:val="00FF54B2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EA50BC"/>
  <w15:chartTrackingRefBased/>
  <w15:docId w15:val="{567FC1B4-1A37-4B65-8546-247D931F3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rsid w:val="00A854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rsid w:val="00A854DA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rsid w:val="00A854DA"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  <w:rsid w:val="00A854DA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A854DA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sid w:val="00A854DA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  <w:rsid w:val="00A854DA"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rsid w:val="00A854DA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locked/>
    <w:rsid w:val="00D97830"/>
    <w:rPr>
      <w:lang w:val="en-GB" w:eastAsia="ko-KR"/>
    </w:rPr>
  </w:style>
  <w:style w:type="character" w:customStyle="1" w:styleId="EQChar">
    <w:name w:val="EQ Char"/>
    <w:link w:val="EQ"/>
    <w:rsid w:val="00D97830"/>
    <w:rPr>
      <w:noProof/>
      <w:lang w:val="en-GB" w:eastAsia="ko-KR"/>
    </w:rPr>
  </w:style>
  <w:style w:type="character" w:customStyle="1" w:styleId="FooterChar">
    <w:name w:val="Footer Char"/>
    <w:link w:val="Footer"/>
    <w:uiPriority w:val="99"/>
    <w:rsid w:val="002F303E"/>
    <w:rPr>
      <w:rFonts w:ascii="Arial" w:hAnsi="Arial"/>
      <w:b/>
      <w:i/>
      <w:noProof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305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EE21A-EC8A-4B82-9767-9C473CBA38B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5ABF2B-5FB1-4655-B6F5-ED7A17E20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0B9A47-B703-4348-874F-EF12A440C8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641348-D71F-467C-8FA1-7A82D43E4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1084</TotalTime>
  <Pages>3</Pages>
  <Words>755</Words>
  <Characters>3764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4510</CharactersWithSpaces>
  <SharedDoc>false</SharedDoc>
  <HLinks>
    <vt:vector size="6" baseType="variant">
      <vt:variant>
        <vt:i4>7864340</vt:i4>
      </vt:variant>
      <vt:variant>
        <vt:i4>0</vt:i4>
      </vt:variant>
      <vt:variant>
        <vt:i4>0</vt:i4>
      </vt:variant>
      <vt:variant>
        <vt:i4>5</vt:i4>
      </vt:variant>
      <vt:variant>
        <vt:lpwstr>https://list.etsi.org/scripts/wa.exe?A2=3GPP_TSG_RAN_WG5;9851b1d6.2003A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 User</cp:lastModifiedBy>
  <cp:revision>109</cp:revision>
  <dcterms:created xsi:type="dcterms:W3CDTF">2020-04-10T02:38:00Z</dcterms:created>
  <dcterms:modified xsi:type="dcterms:W3CDTF">2020-05-15T21:04:00Z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  <property fmtid="{D5CDD505-2E9C-101B-9397-08002B2CF9AE}" pid="3" name="_NewReviewCycle">
    <vt:lpwstr/>
  </property>
</Properties>
</file>